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A431A" w14:textId="77777777" w:rsidR="008E01BE" w:rsidRDefault="008E01BE" w:rsidP="008E01BE">
      <w:pPr>
        <w:widowControl w:val="0"/>
        <w:autoSpaceDE w:val="0"/>
        <w:autoSpaceDN w:val="0"/>
        <w:adjustRightInd w:val="0"/>
        <w:spacing w:after="113" w:line="320" w:lineRule="atLeast"/>
        <w:ind w:right="-1134"/>
        <w:rPr>
          <w:rFonts w:ascii="Arial" w:hAnsi="Arial" w:cs="Arial"/>
          <w:b/>
          <w:sz w:val="28"/>
          <w:szCs w:val="28"/>
        </w:rPr>
      </w:pPr>
      <w:r>
        <w:rPr>
          <w:rFonts w:ascii="Arial" w:hAnsi="Arial" w:cs="Arial"/>
          <w:b/>
          <w:noProof/>
          <w:sz w:val="28"/>
          <w:szCs w:val="28"/>
          <w:lang w:val="en-AU" w:eastAsia="en-AU"/>
        </w:rPr>
        <w:drawing>
          <wp:inline distT="0" distB="0" distL="0" distR="0" wp14:anchorId="0A8F332D" wp14:editId="32AB021E">
            <wp:extent cx="2285099" cy="811674"/>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dual_badged_logo_Process.jpg"/>
                    <pic:cNvPicPr/>
                  </pic:nvPicPr>
                  <pic:blipFill>
                    <a:blip r:embed="rId7">
                      <a:extLst>
                        <a:ext uri="{28A0092B-C50C-407E-A947-70E740481C1C}">
                          <a14:useLocalDpi xmlns:a14="http://schemas.microsoft.com/office/drawing/2010/main" val="0"/>
                        </a:ext>
                      </a:extLst>
                    </a:blip>
                    <a:stretch>
                      <a:fillRect/>
                    </a:stretch>
                  </pic:blipFill>
                  <pic:spPr>
                    <a:xfrm>
                      <a:off x="0" y="0"/>
                      <a:ext cx="2285099" cy="811674"/>
                    </a:xfrm>
                    <a:prstGeom prst="rect">
                      <a:avLst/>
                    </a:prstGeom>
                  </pic:spPr>
                </pic:pic>
              </a:graphicData>
            </a:graphic>
          </wp:inline>
        </w:drawing>
      </w:r>
    </w:p>
    <w:p w14:paraId="373D0919" w14:textId="77777777" w:rsidR="008E01BE" w:rsidRDefault="008E01BE" w:rsidP="001B34B2">
      <w:pPr>
        <w:widowControl w:val="0"/>
        <w:autoSpaceDE w:val="0"/>
        <w:autoSpaceDN w:val="0"/>
        <w:adjustRightInd w:val="0"/>
        <w:spacing w:line="320" w:lineRule="atLeast"/>
        <w:ind w:right="-1134"/>
        <w:rPr>
          <w:rFonts w:ascii="Arial" w:hAnsi="Arial" w:cs="Arial"/>
          <w:b/>
          <w:sz w:val="28"/>
          <w:szCs w:val="28"/>
        </w:rPr>
      </w:pPr>
    </w:p>
    <w:p w14:paraId="3B92D6F4" w14:textId="055B637E" w:rsidR="008E01BE" w:rsidRPr="008E01BE" w:rsidRDefault="008E01BE" w:rsidP="001B34B2">
      <w:pPr>
        <w:widowControl w:val="0"/>
        <w:autoSpaceDE w:val="0"/>
        <w:autoSpaceDN w:val="0"/>
        <w:adjustRightInd w:val="0"/>
        <w:ind w:right="-1134"/>
        <w:rPr>
          <w:rFonts w:ascii="Arial" w:hAnsi="Arial" w:cs="Arial"/>
          <w:b/>
          <w:sz w:val="28"/>
          <w:szCs w:val="28"/>
        </w:rPr>
      </w:pPr>
      <w:r w:rsidRPr="008E01BE">
        <w:rPr>
          <w:rFonts w:ascii="Arial" w:hAnsi="Arial" w:cs="Arial"/>
          <w:b/>
          <w:sz w:val="28"/>
          <w:szCs w:val="28"/>
        </w:rPr>
        <w:t>Budget Bulletin 2013</w:t>
      </w:r>
      <w:r w:rsidR="0022297F" w:rsidRPr="0022297F">
        <w:rPr>
          <w:rFonts w:ascii="Arial" w:hAnsi="Arial" w:cs="Arial"/>
          <w:b/>
        </w:rPr>
        <w:t>–</w:t>
      </w:r>
      <w:r w:rsidRPr="008E01BE">
        <w:rPr>
          <w:rFonts w:ascii="Arial" w:hAnsi="Arial" w:cs="Arial"/>
          <w:b/>
          <w:sz w:val="28"/>
          <w:szCs w:val="28"/>
        </w:rPr>
        <w:t>14</w:t>
      </w:r>
    </w:p>
    <w:p w14:paraId="410477EE" w14:textId="77777777" w:rsidR="001B34B2" w:rsidRDefault="001B34B2" w:rsidP="001B34B2">
      <w:pPr>
        <w:widowControl w:val="0"/>
        <w:autoSpaceDE w:val="0"/>
        <w:autoSpaceDN w:val="0"/>
        <w:adjustRightInd w:val="0"/>
        <w:ind w:right="-1134"/>
        <w:rPr>
          <w:rFonts w:ascii="Arial" w:hAnsi="Arial" w:cs="Arial"/>
        </w:rPr>
      </w:pPr>
    </w:p>
    <w:p w14:paraId="0B4D2470" w14:textId="77777777" w:rsidR="008E01BE" w:rsidRDefault="008E01BE" w:rsidP="001B34B2">
      <w:pPr>
        <w:widowControl w:val="0"/>
        <w:autoSpaceDE w:val="0"/>
        <w:autoSpaceDN w:val="0"/>
        <w:adjustRightInd w:val="0"/>
        <w:ind w:right="-1134"/>
        <w:rPr>
          <w:rFonts w:ascii="Arial" w:hAnsi="Arial" w:cs="Arial"/>
        </w:rPr>
      </w:pPr>
      <w:r>
        <w:rPr>
          <w:rFonts w:ascii="Arial" w:hAnsi="Arial" w:cs="Arial"/>
        </w:rPr>
        <w:t>People with disability, their families and carers are set to benefit from this year’s State Budget, which in 2013–2014 again shows the strength of the State Government’s commitment to people in this sector.</w:t>
      </w:r>
    </w:p>
    <w:p w14:paraId="6379AA78" w14:textId="77777777" w:rsidR="001B34B2" w:rsidRDefault="001B34B2" w:rsidP="001B34B2">
      <w:pPr>
        <w:widowControl w:val="0"/>
        <w:autoSpaceDE w:val="0"/>
        <w:autoSpaceDN w:val="0"/>
        <w:adjustRightInd w:val="0"/>
        <w:ind w:right="-1134"/>
        <w:rPr>
          <w:rFonts w:ascii="Arial" w:hAnsi="Arial" w:cs="Arial"/>
        </w:rPr>
      </w:pPr>
    </w:p>
    <w:p w14:paraId="297B8F57" w14:textId="5F162C67" w:rsidR="008E01BE" w:rsidRDefault="008E01BE" w:rsidP="001B34B2">
      <w:pPr>
        <w:widowControl w:val="0"/>
        <w:autoSpaceDE w:val="0"/>
        <w:autoSpaceDN w:val="0"/>
        <w:adjustRightInd w:val="0"/>
        <w:ind w:right="-1134"/>
        <w:rPr>
          <w:rFonts w:ascii="Arial" w:hAnsi="Arial" w:cs="Arial"/>
        </w:rPr>
      </w:pPr>
      <w:r>
        <w:rPr>
          <w:rFonts w:ascii="Arial" w:hAnsi="Arial" w:cs="Arial"/>
        </w:rPr>
        <w:t>This year, the State</w:t>
      </w:r>
      <w:r w:rsidR="008255C2">
        <w:rPr>
          <w:rFonts w:ascii="Arial" w:hAnsi="Arial" w:cs="Arial"/>
        </w:rPr>
        <w:t xml:space="preserve"> Government will provide $636.8</w:t>
      </w:r>
      <w:r>
        <w:rPr>
          <w:rFonts w:ascii="Arial" w:hAnsi="Arial" w:cs="Arial"/>
        </w:rPr>
        <w:t>million to support people with disability, their families and carers. This represents an inc</w:t>
      </w:r>
      <w:r w:rsidR="008255C2">
        <w:rPr>
          <w:rFonts w:ascii="Arial" w:hAnsi="Arial" w:cs="Arial"/>
        </w:rPr>
        <w:t>rease of 10.2 per cent or $58.9</w:t>
      </w:r>
      <w:r>
        <w:rPr>
          <w:rFonts w:ascii="Arial" w:hAnsi="Arial" w:cs="Arial"/>
        </w:rPr>
        <w:t xml:space="preserve">million when compared with last year.  </w:t>
      </w:r>
    </w:p>
    <w:p w14:paraId="4D8DA299" w14:textId="77777777" w:rsidR="001B34B2" w:rsidRDefault="001B34B2" w:rsidP="001B34B2">
      <w:pPr>
        <w:widowControl w:val="0"/>
        <w:autoSpaceDE w:val="0"/>
        <w:autoSpaceDN w:val="0"/>
        <w:adjustRightInd w:val="0"/>
        <w:ind w:right="-1134"/>
        <w:rPr>
          <w:rFonts w:ascii="Arial" w:hAnsi="Arial" w:cs="Arial"/>
          <w:b/>
          <w:bCs/>
          <w:color w:val="005579"/>
          <w:sz w:val="28"/>
          <w:szCs w:val="28"/>
        </w:rPr>
      </w:pPr>
    </w:p>
    <w:p w14:paraId="0436CE5B" w14:textId="77777777" w:rsidR="008E01BE" w:rsidRDefault="008E01BE" w:rsidP="001B34B2">
      <w:pPr>
        <w:widowControl w:val="0"/>
        <w:autoSpaceDE w:val="0"/>
        <w:autoSpaceDN w:val="0"/>
        <w:adjustRightInd w:val="0"/>
        <w:ind w:right="-1134"/>
        <w:rPr>
          <w:rFonts w:ascii="Arial" w:hAnsi="Arial" w:cs="Arial"/>
          <w:b/>
          <w:bCs/>
          <w:color w:val="005579"/>
          <w:sz w:val="28"/>
          <w:szCs w:val="28"/>
        </w:rPr>
      </w:pPr>
      <w:r>
        <w:rPr>
          <w:rFonts w:ascii="Arial" w:hAnsi="Arial" w:cs="Arial"/>
          <w:b/>
          <w:bCs/>
          <w:color w:val="005579"/>
          <w:sz w:val="28"/>
          <w:szCs w:val="28"/>
        </w:rPr>
        <w:t>Budget overview</w:t>
      </w:r>
    </w:p>
    <w:p w14:paraId="4DA39BBA" w14:textId="77777777" w:rsidR="001B34B2" w:rsidRDefault="001B34B2" w:rsidP="001B34B2">
      <w:pPr>
        <w:widowControl w:val="0"/>
        <w:autoSpaceDE w:val="0"/>
        <w:autoSpaceDN w:val="0"/>
        <w:adjustRightInd w:val="0"/>
        <w:ind w:right="-1134"/>
        <w:rPr>
          <w:rFonts w:ascii="Arial" w:hAnsi="Arial" w:cs="Arial"/>
        </w:rPr>
      </w:pPr>
    </w:p>
    <w:p w14:paraId="4597330E" w14:textId="63B1A2C1" w:rsidR="008E01BE" w:rsidRDefault="008E01BE" w:rsidP="001B34B2">
      <w:pPr>
        <w:widowControl w:val="0"/>
        <w:autoSpaceDE w:val="0"/>
        <w:autoSpaceDN w:val="0"/>
        <w:adjustRightInd w:val="0"/>
        <w:ind w:right="-1134"/>
        <w:rPr>
          <w:rFonts w:ascii="Arial" w:hAnsi="Arial" w:cs="Arial"/>
        </w:rPr>
      </w:pPr>
      <w:r>
        <w:rPr>
          <w:rFonts w:ascii="Arial" w:hAnsi="Arial" w:cs="Arial"/>
        </w:rPr>
        <w:t>In total, the Commission’s budget</w:t>
      </w:r>
      <w:r w:rsidR="008255C2">
        <w:rPr>
          <w:rFonts w:ascii="Arial" w:hAnsi="Arial" w:cs="Arial"/>
        </w:rPr>
        <w:t xml:space="preserve"> for 2013–14 has reached $797.7</w:t>
      </w:r>
      <w:r>
        <w:rPr>
          <w:rFonts w:ascii="Arial" w:hAnsi="Arial" w:cs="Arial"/>
        </w:rPr>
        <w:t>million and provides for ongoing services to people with disability. This includes contributions from the Commonwealth and other income sources.  A graph showing the increases in the Commission’s budget since 2005–06 can be found on the following page.</w:t>
      </w:r>
    </w:p>
    <w:p w14:paraId="189A07BD" w14:textId="77777777" w:rsidR="001B34B2" w:rsidRDefault="001B34B2" w:rsidP="001B34B2">
      <w:pPr>
        <w:widowControl w:val="0"/>
        <w:autoSpaceDE w:val="0"/>
        <w:autoSpaceDN w:val="0"/>
        <w:adjustRightInd w:val="0"/>
        <w:ind w:right="-1134"/>
        <w:rPr>
          <w:rFonts w:ascii="Arial" w:hAnsi="Arial" w:cs="Arial"/>
        </w:rPr>
      </w:pPr>
    </w:p>
    <w:p w14:paraId="548E6A30" w14:textId="79123E41" w:rsidR="008E01BE" w:rsidRDefault="008E01BE" w:rsidP="001B34B2">
      <w:pPr>
        <w:widowControl w:val="0"/>
        <w:autoSpaceDE w:val="0"/>
        <w:autoSpaceDN w:val="0"/>
        <w:adjustRightInd w:val="0"/>
        <w:ind w:right="-1134"/>
        <w:rPr>
          <w:rFonts w:ascii="Arial" w:hAnsi="Arial" w:cs="Arial"/>
        </w:rPr>
      </w:pPr>
      <w:r>
        <w:rPr>
          <w:rFonts w:ascii="Arial" w:hAnsi="Arial" w:cs="Arial"/>
        </w:rPr>
        <w:t>The disability sector’s ability to deliver more and better services has been bo</w:t>
      </w:r>
      <w:r w:rsidR="008255C2">
        <w:rPr>
          <w:rFonts w:ascii="Arial" w:hAnsi="Arial" w:cs="Arial"/>
        </w:rPr>
        <w:t>osted by an allocation of $32.5</w:t>
      </w:r>
      <w:r>
        <w:rPr>
          <w:rFonts w:ascii="Arial" w:hAnsi="Arial" w:cs="Arial"/>
        </w:rPr>
        <w:t>mill</w:t>
      </w:r>
      <w:r w:rsidR="008255C2">
        <w:rPr>
          <w:rFonts w:ascii="Arial" w:hAnsi="Arial" w:cs="Arial"/>
        </w:rPr>
        <w:t>ion which includes a one-off $1</w:t>
      </w:r>
      <w:r>
        <w:rPr>
          <w:rFonts w:ascii="Arial" w:hAnsi="Arial" w:cs="Arial"/>
        </w:rPr>
        <w:t>million increase in support of the Continence Management and Support Scheme.</w:t>
      </w:r>
    </w:p>
    <w:p w14:paraId="682796FA" w14:textId="77777777" w:rsidR="001B34B2" w:rsidRDefault="001B34B2" w:rsidP="001B34B2">
      <w:pPr>
        <w:widowControl w:val="0"/>
        <w:autoSpaceDE w:val="0"/>
        <w:autoSpaceDN w:val="0"/>
        <w:adjustRightInd w:val="0"/>
        <w:ind w:right="-1134"/>
        <w:rPr>
          <w:rFonts w:ascii="Arial" w:hAnsi="Arial" w:cs="Arial"/>
        </w:rPr>
      </w:pPr>
    </w:p>
    <w:p w14:paraId="768CA5ED" w14:textId="18FA98AE" w:rsidR="008E01BE" w:rsidRDefault="008E01BE" w:rsidP="001B34B2">
      <w:pPr>
        <w:widowControl w:val="0"/>
        <w:autoSpaceDE w:val="0"/>
        <w:autoSpaceDN w:val="0"/>
        <w:adjustRightInd w:val="0"/>
        <w:ind w:right="-1134"/>
        <w:rPr>
          <w:rFonts w:ascii="Arial" w:hAnsi="Arial" w:cs="Arial"/>
        </w:rPr>
      </w:pPr>
      <w:r>
        <w:rPr>
          <w:rFonts w:ascii="Arial" w:hAnsi="Arial" w:cs="Arial"/>
        </w:rPr>
        <w:t>The sustainability of not-for-profit organisations in the disability sector will be further supported by the State Governme</w:t>
      </w:r>
      <w:r w:rsidR="008255C2">
        <w:rPr>
          <w:rFonts w:ascii="Arial" w:hAnsi="Arial" w:cs="Arial"/>
        </w:rPr>
        <w:t>nt with the provision of $110.9</w:t>
      </w:r>
      <w:r>
        <w:rPr>
          <w:rFonts w:ascii="Arial" w:hAnsi="Arial" w:cs="Arial"/>
        </w:rPr>
        <w:t xml:space="preserve">million over four years. </w:t>
      </w:r>
    </w:p>
    <w:p w14:paraId="51D7F34C" w14:textId="77777777" w:rsidR="001B34B2" w:rsidRDefault="001B34B2" w:rsidP="001B34B2">
      <w:pPr>
        <w:widowControl w:val="0"/>
        <w:autoSpaceDE w:val="0"/>
        <w:autoSpaceDN w:val="0"/>
        <w:adjustRightInd w:val="0"/>
        <w:ind w:right="-1134"/>
        <w:rPr>
          <w:rFonts w:ascii="Arial" w:hAnsi="Arial" w:cs="Arial"/>
        </w:rPr>
      </w:pPr>
    </w:p>
    <w:p w14:paraId="0CC663EC" w14:textId="77777777" w:rsidR="008E01BE" w:rsidRDefault="008E01BE" w:rsidP="001B34B2">
      <w:pPr>
        <w:widowControl w:val="0"/>
        <w:autoSpaceDE w:val="0"/>
        <w:autoSpaceDN w:val="0"/>
        <w:adjustRightInd w:val="0"/>
        <w:ind w:right="-1134"/>
        <w:rPr>
          <w:rFonts w:ascii="Arial" w:hAnsi="Arial" w:cs="Arial"/>
        </w:rPr>
      </w:pPr>
      <w:r>
        <w:rPr>
          <w:rFonts w:ascii="Arial" w:hAnsi="Arial" w:cs="Arial"/>
        </w:rPr>
        <w:t xml:space="preserve">This year’s budget will enable the Commission to fund a number of projects and initiatives, with a primary focus on areas of critical need such as accommodation options, family and community supports for school leavers. </w:t>
      </w:r>
    </w:p>
    <w:p w14:paraId="649D9BD3" w14:textId="77777777" w:rsidR="001B34B2" w:rsidRDefault="001B34B2" w:rsidP="001B34B2">
      <w:pPr>
        <w:widowControl w:val="0"/>
        <w:autoSpaceDE w:val="0"/>
        <w:autoSpaceDN w:val="0"/>
        <w:adjustRightInd w:val="0"/>
        <w:ind w:right="-1134"/>
        <w:rPr>
          <w:rFonts w:ascii="Arial" w:hAnsi="Arial" w:cs="Arial"/>
        </w:rPr>
      </w:pPr>
    </w:p>
    <w:p w14:paraId="31F3FAB9" w14:textId="77777777" w:rsidR="008E01BE" w:rsidRDefault="008E01BE" w:rsidP="001B34B2">
      <w:pPr>
        <w:widowControl w:val="0"/>
        <w:autoSpaceDE w:val="0"/>
        <w:autoSpaceDN w:val="0"/>
        <w:adjustRightInd w:val="0"/>
        <w:ind w:right="-1134"/>
        <w:rPr>
          <w:rFonts w:ascii="Arial" w:hAnsi="Arial" w:cs="Arial"/>
        </w:rPr>
      </w:pPr>
      <w:r>
        <w:rPr>
          <w:rFonts w:ascii="Arial" w:hAnsi="Arial" w:cs="Arial"/>
        </w:rPr>
        <w:t xml:space="preserve">Funding allocations will also support expansions to important areas of family and </w:t>
      </w:r>
      <w:proofErr w:type="spellStart"/>
      <w:r>
        <w:rPr>
          <w:rFonts w:ascii="Arial" w:hAnsi="Arial" w:cs="Arial"/>
        </w:rPr>
        <w:t>carer</w:t>
      </w:r>
      <w:proofErr w:type="spellEnd"/>
      <w:r>
        <w:rPr>
          <w:rFonts w:ascii="Arial" w:hAnsi="Arial" w:cs="Arial"/>
        </w:rPr>
        <w:t xml:space="preserve"> support and individual supports, including intensive family support, respite services and allied health services.</w:t>
      </w:r>
    </w:p>
    <w:p w14:paraId="0D6FD91A" w14:textId="77777777" w:rsidR="001B34B2" w:rsidRDefault="001B34B2" w:rsidP="001B34B2">
      <w:pPr>
        <w:widowControl w:val="0"/>
        <w:autoSpaceDE w:val="0"/>
        <w:autoSpaceDN w:val="0"/>
        <w:adjustRightInd w:val="0"/>
        <w:ind w:right="-1134"/>
        <w:rPr>
          <w:rFonts w:ascii="Arial" w:hAnsi="Arial" w:cs="Arial"/>
        </w:rPr>
      </w:pPr>
    </w:p>
    <w:p w14:paraId="77E66891" w14:textId="77777777" w:rsidR="008E01BE" w:rsidRDefault="008E01BE" w:rsidP="001B34B2">
      <w:pPr>
        <w:widowControl w:val="0"/>
        <w:autoSpaceDE w:val="0"/>
        <w:autoSpaceDN w:val="0"/>
        <w:adjustRightInd w:val="0"/>
        <w:ind w:right="-1134"/>
        <w:rPr>
          <w:rFonts w:ascii="Arial" w:hAnsi="Arial" w:cs="Arial"/>
        </w:rPr>
      </w:pPr>
      <w:r>
        <w:rPr>
          <w:rFonts w:ascii="Arial" w:hAnsi="Arial" w:cs="Arial"/>
        </w:rPr>
        <w:t>Services required to support people with disability, including those offered through My Way in the Goldfields, Perth Hills, Cockburn-Kwinana and the Lower South West have also received a funding allocation.</w:t>
      </w:r>
    </w:p>
    <w:p w14:paraId="16E8800E" w14:textId="77777777" w:rsidR="001B34B2" w:rsidRDefault="001B34B2" w:rsidP="001B34B2">
      <w:pPr>
        <w:widowControl w:val="0"/>
        <w:autoSpaceDE w:val="0"/>
        <w:autoSpaceDN w:val="0"/>
        <w:adjustRightInd w:val="0"/>
        <w:ind w:right="-1134"/>
        <w:rPr>
          <w:rFonts w:ascii="Arial" w:hAnsi="Arial" w:cs="Arial"/>
        </w:rPr>
      </w:pPr>
    </w:p>
    <w:p w14:paraId="5D4668F4" w14:textId="77777777" w:rsidR="008E01BE" w:rsidRDefault="008E01BE" w:rsidP="001B34B2">
      <w:pPr>
        <w:widowControl w:val="0"/>
        <w:autoSpaceDE w:val="0"/>
        <w:autoSpaceDN w:val="0"/>
        <w:adjustRightInd w:val="0"/>
        <w:ind w:right="-1134"/>
        <w:rPr>
          <w:rFonts w:ascii="Arial" w:hAnsi="Arial" w:cs="Arial"/>
        </w:rPr>
      </w:pPr>
      <w:r>
        <w:rPr>
          <w:rFonts w:ascii="Arial" w:hAnsi="Arial" w:cs="Arial"/>
        </w:rPr>
        <w:t>This allocation includes additional funding to support My Way in the Lower South West, where implementation has been accelerated to ensure alignment with the National Disability Insurance Scheme launch.</w:t>
      </w:r>
    </w:p>
    <w:p w14:paraId="7085691B" w14:textId="77777777" w:rsidR="001B34B2" w:rsidRDefault="001B34B2" w:rsidP="001B34B2">
      <w:pPr>
        <w:widowControl w:val="0"/>
        <w:autoSpaceDE w:val="0"/>
        <w:autoSpaceDN w:val="0"/>
        <w:adjustRightInd w:val="0"/>
        <w:ind w:right="-1134"/>
        <w:rPr>
          <w:rFonts w:ascii="Arial" w:hAnsi="Arial" w:cs="Arial"/>
        </w:rPr>
      </w:pPr>
    </w:p>
    <w:p w14:paraId="7135303B" w14:textId="5DECE8CF" w:rsidR="008E01BE" w:rsidRDefault="008E01BE" w:rsidP="001B34B2">
      <w:pPr>
        <w:widowControl w:val="0"/>
        <w:autoSpaceDE w:val="0"/>
        <w:autoSpaceDN w:val="0"/>
        <w:adjustRightInd w:val="0"/>
        <w:ind w:right="-1134"/>
        <w:rPr>
          <w:rFonts w:ascii="Arial" w:hAnsi="Arial" w:cs="Arial"/>
        </w:rPr>
      </w:pPr>
      <w:r>
        <w:rPr>
          <w:rFonts w:ascii="Arial" w:hAnsi="Arial" w:cs="Arial"/>
        </w:rPr>
        <w:t xml:space="preserve">The My Way disability reform strategy is the next important step towards a </w:t>
      </w:r>
      <w:proofErr w:type="spellStart"/>
      <w:r>
        <w:rPr>
          <w:rFonts w:ascii="Arial" w:hAnsi="Arial" w:cs="Arial"/>
        </w:rPr>
        <w:t>localis</w:t>
      </w:r>
      <w:r w:rsidR="00FF0228">
        <w:rPr>
          <w:rFonts w:ascii="Arial" w:hAnsi="Arial" w:cs="Arial"/>
        </w:rPr>
        <w:t>ed</w:t>
      </w:r>
      <w:proofErr w:type="spellEnd"/>
      <w:r w:rsidR="00FF0228">
        <w:rPr>
          <w:rFonts w:ascii="Arial" w:hAnsi="Arial" w:cs="Arial"/>
        </w:rPr>
        <w:t xml:space="preserve"> and </w:t>
      </w:r>
      <w:proofErr w:type="spellStart"/>
      <w:r w:rsidR="00FF0228">
        <w:rPr>
          <w:rFonts w:ascii="Arial" w:hAnsi="Arial" w:cs="Arial"/>
        </w:rPr>
        <w:t>decentralised</w:t>
      </w:r>
      <w:proofErr w:type="spellEnd"/>
      <w:r w:rsidR="00FF0228">
        <w:rPr>
          <w:rFonts w:ascii="Arial" w:hAnsi="Arial" w:cs="Arial"/>
        </w:rPr>
        <w:t xml:space="preserve"> approach. </w:t>
      </w:r>
      <w:r>
        <w:rPr>
          <w:rFonts w:ascii="Arial" w:hAnsi="Arial" w:cs="Arial"/>
        </w:rPr>
        <w:t xml:space="preserve">The strategy supports people with disability to meet their individual needs by advancing choice, providing an expanded regional team to support people, enabling local decision making and aligning funds with the principles of the NDIS. </w:t>
      </w:r>
    </w:p>
    <w:p w14:paraId="491E30B6" w14:textId="77777777" w:rsidR="001B34B2" w:rsidRDefault="001B34B2" w:rsidP="001B34B2">
      <w:pPr>
        <w:widowControl w:val="0"/>
        <w:autoSpaceDE w:val="0"/>
        <w:autoSpaceDN w:val="0"/>
        <w:adjustRightInd w:val="0"/>
        <w:ind w:right="-1134"/>
        <w:rPr>
          <w:rFonts w:ascii="Arial" w:hAnsi="Arial" w:cs="Arial"/>
        </w:rPr>
      </w:pPr>
    </w:p>
    <w:p w14:paraId="6FDE7789" w14:textId="3FFA2769" w:rsidR="001B34B2" w:rsidRDefault="008E01BE" w:rsidP="001B34B2">
      <w:pPr>
        <w:widowControl w:val="0"/>
        <w:autoSpaceDE w:val="0"/>
        <w:autoSpaceDN w:val="0"/>
        <w:adjustRightInd w:val="0"/>
        <w:ind w:right="-1134"/>
        <w:rPr>
          <w:rFonts w:ascii="Arial" w:hAnsi="Arial" w:cs="Arial"/>
        </w:rPr>
      </w:pPr>
      <w:r>
        <w:rPr>
          <w:rFonts w:ascii="Arial" w:hAnsi="Arial" w:cs="Arial"/>
        </w:rPr>
        <w:t xml:space="preserve">Another key project supported by this year’s budget is the establishment of two disability justice centres, </w:t>
      </w:r>
      <w:r w:rsidR="00FF0228">
        <w:rPr>
          <w:rFonts w:ascii="Arial" w:hAnsi="Arial" w:cs="Arial"/>
        </w:rPr>
        <w:t xml:space="preserve">and a prison in-reach service. </w:t>
      </w:r>
      <w:r>
        <w:rPr>
          <w:rFonts w:ascii="Arial" w:hAnsi="Arial" w:cs="Arial"/>
        </w:rPr>
        <w:t xml:space="preserve">The state-of-the-art secure centres will accommodate people with intellectual or cognitive disability who have been charged with an offence but are not able to understand the court process and are deemed unfit to plead and are given a custody order by the Mentally Impaired Accused Review Board. </w:t>
      </w:r>
      <w:r w:rsidR="00E110A6">
        <w:rPr>
          <w:rFonts w:ascii="Arial" w:hAnsi="Arial" w:cs="Arial"/>
        </w:rPr>
        <w:br/>
      </w:r>
    </w:p>
    <w:p w14:paraId="37A4AEC0" w14:textId="449CB1BD" w:rsidR="00D104E2" w:rsidRDefault="00D104E2" w:rsidP="001B34B2">
      <w:pPr>
        <w:widowControl w:val="0"/>
        <w:autoSpaceDE w:val="0"/>
        <w:autoSpaceDN w:val="0"/>
        <w:adjustRightInd w:val="0"/>
        <w:ind w:right="-1134"/>
        <w:rPr>
          <w:rFonts w:ascii="Arial" w:eastAsia="Times New Roman" w:hAnsi="Arial" w:cs="Arial"/>
          <w:b/>
          <w:bCs/>
          <w:color w:val="000000"/>
        </w:rPr>
      </w:pPr>
      <w:r w:rsidRPr="00FA449D">
        <w:rPr>
          <w:rFonts w:ascii="Arial" w:eastAsia="Times New Roman" w:hAnsi="Arial" w:cs="Arial"/>
          <w:b/>
          <w:bCs/>
          <w:color w:val="000000"/>
        </w:rPr>
        <w:t>State-Commonwealth funding shares</w:t>
      </w:r>
    </w:p>
    <w:p w14:paraId="2B8D8646" w14:textId="77777777" w:rsidR="001B34B2" w:rsidRPr="00FA449D" w:rsidRDefault="001B34B2" w:rsidP="001B34B2">
      <w:pPr>
        <w:widowControl w:val="0"/>
        <w:autoSpaceDE w:val="0"/>
        <w:autoSpaceDN w:val="0"/>
        <w:adjustRightInd w:val="0"/>
        <w:ind w:right="-1134"/>
        <w:rPr>
          <w:rFonts w:ascii="Arial" w:hAnsi="Arial" w:cs="Arial"/>
        </w:rPr>
      </w:pPr>
    </w:p>
    <w:tbl>
      <w:tblPr>
        <w:tblW w:w="9244"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506"/>
        <w:gridCol w:w="1283"/>
        <w:gridCol w:w="2003"/>
        <w:gridCol w:w="1580"/>
      </w:tblGrid>
      <w:tr w:rsidR="00233A0E" w:rsidRPr="00FA449D" w14:paraId="3ACFA696" w14:textId="77777777" w:rsidTr="00D104E2">
        <w:trPr>
          <w:trHeight w:val="300"/>
        </w:trPr>
        <w:tc>
          <w:tcPr>
            <w:tcW w:w="4506" w:type="dxa"/>
            <w:shd w:val="clear" w:color="000000" w:fill="FFFFFF"/>
            <w:noWrap/>
            <w:vAlign w:val="bottom"/>
            <w:hideMark/>
          </w:tcPr>
          <w:p w14:paraId="1E591BB6" w14:textId="20336CFA" w:rsidR="00233A0E" w:rsidRPr="00FA449D" w:rsidRDefault="00D104E2" w:rsidP="00233A0E">
            <w:pPr>
              <w:rPr>
                <w:rFonts w:ascii="Arial" w:eastAsia="Times New Roman" w:hAnsi="Arial" w:cs="Arial"/>
                <w:b/>
                <w:color w:val="000000"/>
              </w:rPr>
            </w:pPr>
            <w:r w:rsidRPr="00FA449D">
              <w:rPr>
                <w:rFonts w:ascii="Arial" w:eastAsia="Times New Roman" w:hAnsi="Arial" w:cs="Arial"/>
                <w:b/>
                <w:color w:val="000000"/>
              </w:rPr>
              <w:t>State Growth Funding Data</w:t>
            </w:r>
          </w:p>
          <w:p w14:paraId="3AD8055B" w14:textId="14F096B9" w:rsidR="00D104E2" w:rsidRPr="00FA449D" w:rsidRDefault="00D104E2" w:rsidP="00233A0E">
            <w:pPr>
              <w:rPr>
                <w:rFonts w:ascii="Arial" w:eastAsia="Times New Roman" w:hAnsi="Arial" w:cs="Arial"/>
                <w:b/>
                <w:color w:val="000000"/>
              </w:rPr>
            </w:pPr>
          </w:p>
        </w:tc>
        <w:tc>
          <w:tcPr>
            <w:tcW w:w="1274" w:type="dxa"/>
            <w:shd w:val="clear" w:color="000000" w:fill="FFFFFF"/>
            <w:noWrap/>
            <w:vAlign w:val="bottom"/>
            <w:hideMark/>
          </w:tcPr>
          <w:p w14:paraId="5B88E7FD" w14:textId="77777777" w:rsidR="00233A0E" w:rsidRPr="00FA449D" w:rsidRDefault="00233A0E" w:rsidP="001D107D">
            <w:pPr>
              <w:rPr>
                <w:rFonts w:ascii="Arial" w:eastAsia="Times New Roman" w:hAnsi="Arial" w:cs="Arial"/>
                <w:b/>
                <w:color w:val="000000"/>
              </w:rPr>
            </w:pPr>
            <w:r w:rsidRPr="00FA449D">
              <w:rPr>
                <w:rFonts w:ascii="Arial" w:eastAsia="Times New Roman" w:hAnsi="Arial" w:cs="Arial"/>
                <w:b/>
                <w:color w:val="000000"/>
              </w:rPr>
              <w:t xml:space="preserve">State </w:t>
            </w:r>
          </w:p>
          <w:p w14:paraId="0C5255D8" w14:textId="57BF2B87" w:rsidR="00D104E2" w:rsidRPr="00FA449D" w:rsidRDefault="00D104E2" w:rsidP="001D107D">
            <w:pPr>
              <w:rPr>
                <w:rFonts w:ascii="Arial" w:eastAsia="Times New Roman" w:hAnsi="Arial" w:cs="Arial"/>
                <w:b/>
                <w:color w:val="000000"/>
              </w:rPr>
            </w:pPr>
            <w:r w:rsidRPr="00FA449D">
              <w:rPr>
                <w:rFonts w:ascii="Arial" w:eastAsia="Times New Roman" w:hAnsi="Arial" w:cs="Arial"/>
                <w:b/>
                <w:color w:val="000000"/>
              </w:rPr>
              <w:t>($million)</w:t>
            </w:r>
          </w:p>
        </w:tc>
        <w:tc>
          <w:tcPr>
            <w:tcW w:w="1884" w:type="dxa"/>
            <w:shd w:val="clear" w:color="000000" w:fill="FFFFFF"/>
            <w:noWrap/>
            <w:vAlign w:val="bottom"/>
            <w:hideMark/>
          </w:tcPr>
          <w:p w14:paraId="2E38AAB4" w14:textId="77777777" w:rsidR="00233A0E" w:rsidRPr="00FA449D" w:rsidRDefault="00233A0E" w:rsidP="001D107D">
            <w:pPr>
              <w:rPr>
                <w:rFonts w:ascii="Arial" w:eastAsia="Times New Roman" w:hAnsi="Arial" w:cs="Arial"/>
                <w:b/>
                <w:color w:val="000000"/>
              </w:rPr>
            </w:pPr>
            <w:r w:rsidRPr="00FA449D">
              <w:rPr>
                <w:rFonts w:ascii="Arial" w:eastAsia="Times New Roman" w:hAnsi="Arial" w:cs="Arial"/>
                <w:b/>
                <w:color w:val="000000"/>
              </w:rPr>
              <w:t>Commonwealth</w:t>
            </w:r>
          </w:p>
          <w:p w14:paraId="4DB3F484" w14:textId="09189FCF" w:rsidR="00D104E2" w:rsidRPr="00FA449D" w:rsidRDefault="00D104E2" w:rsidP="001D107D">
            <w:pPr>
              <w:rPr>
                <w:rFonts w:ascii="Arial" w:eastAsia="Times New Roman" w:hAnsi="Arial" w:cs="Arial"/>
                <w:b/>
                <w:color w:val="000000"/>
              </w:rPr>
            </w:pPr>
            <w:r w:rsidRPr="00FA449D">
              <w:rPr>
                <w:rFonts w:ascii="Arial" w:eastAsia="Times New Roman" w:hAnsi="Arial" w:cs="Arial"/>
                <w:b/>
                <w:color w:val="000000"/>
              </w:rPr>
              <w:t>($million)</w:t>
            </w:r>
          </w:p>
        </w:tc>
        <w:tc>
          <w:tcPr>
            <w:tcW w:w="1580" w:type="dxa"/>
            <w:shd w:val="clear" w:color="000000" w:fill="FFFFFF"/>
            <w:noWrap/>
            <w:vAlign w:val="bottom"/>
            <w:hideMark/>
          </w:tcPr>
          <w:p w14:paraId="4EF99468" w14:textId="77777777" w:rsidR="00233A0E" w:rsidRPr="00FA449D" w:rsidRDefault="00233A0E" w:rsidP="001D107D">
            <w:pPr>
              <w:rPr>
                <w:rFonts w:ascii="Arial" w:eastAsia="Times New Roman" w:hAnsi="Arial" w:cs="Arial"/>
                <w:b/>
                <w:color w:val="000000"/>
              </w:rPr>
            </w:pPr>
            <w:r w:rsidRPr="00FA449D">
              <w:rPr>
                <w:rFonts w:ascii="Arial" w:eastAsia="Times New Roman" w:hAnsi="Arial" w:cs="Arial"/>
                <w:b/>
                <w:color w:val="000000"/>
              </w:rPr>
              <w:t>Combined</w:t>
            </w:r>
          </w:p>
          <w:p w14:paraId="0BB85CE0" w14:textId="10B790A8" w:rsidR="00D104E2" w:rsidRPr="00FA449D" w:rsidRDefault="00D104E2" w:rsidP="001D107D">
            <w:pPr>
              <w:rPr>
                <w:rFonts w:ascii="Arial" w:eastAsia="Times New Roman" w:hAnsi="Arial" w:cs="Arial"/>
                <w:b/>
                <w:color w:val="000000"/>
              </w:rPr>
            </w:pPr>
            <w:r w:rsidRPr="00FA449D">
              <w:rPr>
                <w:rFonts w:ascii="Arial" w:eastAsia="Times New Roman" w:hAnsi="Arial" w:cs="Arial"/>
                <w:b/>
                <w:color w:val="000000"/>
              </w:rPr>
              <w:t>($million)</w:t>
            </w:r>
          </w:p>
        </w:tc>
      </w:tr>
      <w:tr w:rsidR="00233A0E" w:rsidRPr="00FA449D" w14:paraId="24F4F8CB" w14:textId="77777777" w:rsidTr="00D104E2">
        <w:trPr>
          <w:trHeight w:val="300"/>
        </w:trPr>
        <w:tc>
          <w:tcPr>
            <w:tcW w:w="4506" w:type="dxa"/>
            <w:shd w:val="clear" w:color="000000" w:fill="FFFFFF"/>
            <w:noWrap/>
            <w:vAlign w:val="bottom"/>
            <w:hideMark/>
          </w:tcPr>
          <w:p w14:paraId="4B369E96" w14:textId="377A0FC1" w:rsidR="00233A0E" w:rsidRPr="00FA449D" w:rsidRDefault="00D104E2" w:rsidP="00233A0E">
            <w:pPr>
              <w:rPr>
                <w:rFonts w:ascii="Arial" w:eastAsia="Times New Roman" w:hAnsi="Arial" w:cs="Arial"/>
                <w:color w:val="000000"/>
              </w:rPr>
            </w:pPr>
            <w:r w:rsidRPr="00FA449D">
              <w:rPr>
                <w:rFonts w:ascii="Arial" w:eastAsia="Times New Roman" w:hAnsi="Arial" w:cs="Arial"/>
                <w:color w:val="000000"/>
              </w:rPr>
              <w:t>2005</w:t>
            </w:r>
            <w:r w:rsidR="0095083B">
              <w:rPr>
                <w:rFonts w:ascii="Arial" w:hAnsi="Arial" w:cs="Arial"/>
              </w:rPr>
              <w:t>–</w:t>
            </w:r>
            <w:r w:rsidRPr="00FA449D">
              <w:rPr>
                <w:rFonts w:ascii="Arial" w:eastAsia="Times New Roman" w:hAnsi="Arial" w:cs="Arial"/>
                <w:color w:val="000000"/>
              </w:rPr>
              <w:t>20</w:t>
            </w:r>
            <w:r w:rsidR="00233A0E" w:rsidRPr="00FA449D">
              <w:rPr>
                <w:rFonts w:ascii="Arial" w:eastAsia="Times New Roman" w:hAnsi="Arial" w:cs="Arial"/>
                <w:color w:val="000000"/>
              </w:rPr>
              <w:t>06</w:t>
            </w:r>
          </w:p>
        </w:tc>
        <w:tc>
          <w:tcPr>
            <w:tcW w:w="1274" w:type="dxa"/>
            <w:shd w:val="clear" w:color="000000" w:fill="FFFFFF"/>
            <w:noWrap/>
            <w:vAlign w:val="bottom"/>
            <w:hideMark/>
          </w:tcPr>
          <w:p w14:paraId="096EAF05" w14:textId="61B7E0C5" w:rsidR="00233A0E" w:rsidRPr="00FA449D" w:rsidRDefault="00233A0E" w:rsidP="001D107D">
            <w:pPr>
              <w:rPr>
                <w:rFonts w:ascii="Arial" w:eastAsia="Times New Roman" w:hAnsi="Arial" w:cs="Arial"/>
              </w:rPr>
            </w:pPr>
            <w:r w:rsidRPr="00FA449D">
              <w:rPr>
                <w:rFonts w:ascii="Arial" w:eastAsia="Times New Roman" w:hAnsi="Arial" w:cs="Arial"/>
              </w:rPr>
              <w:t xml:space="preserve">$245.3 </w:t>
            </w:r>
          </w:p>
        </w:tc>
        <w:tc>
          <w:tcPr>
            <w:tcW w:w="1884" w:type="dxa"/>
            <w:shd w:val="clear" w:color="000000" w:fill="FFFFFF"/>
            <w:noWrap/>
            <w:vAlign w:val="bottom"/>
            <w:hideMark/>
          </w:tcPr>
          <w:p w14:paraId="763D1413" w14:textId="3240D535" w:rsidR="00233A0E" w:rsidRPr="00FA449D" w:rsidRDefault="00233A0E" w:rsidP="001D107D">
            <w:pPr>
              <w:rPr>
                <w:rFonts w:ascii="Arial" w:eastAsia="Times New Roman" w:hAnsi="Arial" w:cs="Arial"/>
              </w:rPr>
            </w:pPr>
            <w:r w:rsidRPr="00FA449D">
              <w:rPr>
                <w:rFonts w:ascii="Arial" w:eastAsia="Times New Roman" w:hAnsi="Arial" w:cs="Arial"/>
              </w:rPr>
              <w:t xml:space="preserve">$48.6 </w:t>
            </w:r>
          </w:p>
        </w:tc>
        <w:tc>
          <w:tcPr>
            <w:tcW w:w="1580" w:type="dxa"/>
            <w:shd w:val="clear" w:color="000000" w:fill="FFFFFF"/>
            <w:noWrap/>
            <w:vAlign w:val="bottom"/>
            <w:hideMark/>
          </w:tcPr>
          <w:p w14:paraId="20382520" w14:textId="113E9683"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$294.0 </w:t>
            </w:r>
          </w:p>
        </w:tc>
      </w:tr>
      <w:tr w:rsidR="00233A0E" w:rsidRPr="00FA449D" w14:paraId="0E73A63A" w14:textId="77777777" w:rsidTr="00D104E2">
        <w:trPr>
          <w:trHeight w:val="300"/>
        </w:trPr>
        <w:tc>
          <w:tcPr>
            <w:tcW w:w="4506" w:type="dxa"/>
            <w:shd w:val="clear" w:color="000000" w:fill="FFFFFF"/>
            <w:noWrap/>
            <w:vAlign w:val="bottom"/>
            <w:hideMark/>
          </w:tcPr>
          <w:p w14:paraId="64F9581D" w14:textId="094E1CC6" w:rsidR="00233A0E" w:rsidRPr="00FA449D" w:rsidRDefault="00D104E2" w:rsidP="00233A0E">
            <w:pPr>
              <w:rPr>
                <w:rFonts w:ascii="Arial" w:eastAsia="Times New Roman" w:hAnsi="Arial" w:cs="Arial"/>
                <w:color w:val="000000"/>
              </w:rPr>
            </w:pPr>
            <w:r w:rsidRPr="00FA449D">
              <w:rPr>
                <w:rFonts w:ascii="Arial" w:eastAsia="Times New Roman" w:hAnsi="Arial" w:cs="Arial"/>
                <w:color w:val="000000"/>
              </w:rPr>
              <w:t>2006</w:t>
            </w:r>
            <w:r w:rsidR="0095083B">
              <w:rPr>
                <w:rFonts w:ascii="Arial" w:hAnsi="Arial" w:cs="Arial"/>
              </w:rPr>
              <w:t>–</w:t>
            </w:r>
            <w:r w:rsidRPr="00FA449D">
              <w:rPr>
                <w:rFonts w:ascii="Arial" w:eastAsia="Times New Roman" w:hAnsi="Arial" w:cs="Arial"/>
                <w:color w:val="000000"/>
              </w:rPr>
              <w:t>20</w:t>
            </w:r>
            <w:r w:rsidR="00233A0E" w:rsidRPr="00FA449D">
              <w:rPr>
                <w:rFonts w:ascii="Arial" w:eastAsia="Times New Roman" w:hAnsi="Arial" w:cs="Arial"/>
                <w:color w:val="000000"/>
              </w:rPr>
              <w:t>07</w:t>
            </w:r>
          </w:p>
        </w:tc>
        <w:tc>
          <w:tcPr>
            <w:tcW w:w="1274" w:type="dxa"/>
            <w:shd w:val="clear" w:color="000000" w:fill="FFFFFF"/>
            <w:noWrap/>
            <w:vAlign w:val="bottom"/>
            <w:hideMark/>
          </w:tcPr>
          <w:p w14:paraId="4CB63E9B" w14:textId="6636CE17" w:rsidR="00233A0E" w:rsidRPr="00FA449D" w:rsidRDefault="00233A0E" w:rsidP="001D107D">
            <w:pPr>
              <w:rPr>
                <w:rFonts w:ascii="Arial" w:eastAsia="Times New Roman" w:hAnsi="Arial" w:cs="Arial"/>
              </w:rPr>
            </w:pPr>
            <w:r w:rsidRPr="00FA449D">
              <w:rPr>
                <w:rFonts w:ascii="Arial" w:eastAsia="Times New Roman" w:hAnsi="Arial" w:cs="Arial"/>
              </w:rPr>
              <w:t xml:space="preserve">$274.6 </w:t>
            </w:r>
          </w:p>
        </w:tc>
        <w:tc>
          <w:tcPr>
            <w:tcW w:w="1884" w:type="dxa"/>
            <w:shd w:val="clear" w:color="000000" w:fill="FFFFFF"/>
            <w:noWrap/>
            <w:vAlign w:val="bottom"/>
            <w:hideMark/>
          </w:tcPr>
          <w:p w14:paraId="068C93A2" w14:textId="7C4017B6" w:rsidR="00233A0E" w:rsidRPr="00FA449D" w:rsidRDefault="00233A0E" w:rsidP="001D107D">
            <w:pPr>
              <w:rPr>
                <w:rFonts w:ascii="Arial" w:eastAsia="Times New Roman" w:hAnsi="Arial" w:cs="Arial"/>
              </w:rPr>
            </w:pPr>
            <w:r w:rsidRPr="00FA449D">
              <w:rPr>
                <w:rFonts w:ascii="Arial" w:eastAsia="Times New Roman" w:hAnsi="Arial" w:cs="Arial"/>
              </w:rPr>
              <w:t xml:space="preserve">$50.6 </w:t>
            </w:r>
          </w:p>
        </w:tc>
        <w:tc>
          <w:tcPr>
            <w:tcW w:w="1580" w:type="dxa"/>
            <w:shd w:val="clear" w:color="000000" w:fill="FFFFFF"/>
            <w:noWrap/>
            <w:vAlign w:val="bottom"/>
            <w:hideMark/>
          </w:tcPr>
          <w:p w14:paraId="5A0860BA" w14:textId="2920DB29"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$325.2 </w:t>
            </w:r>
          </w:p>
        </w:tc>
      </w:tr>
      <w:tr w:rsidR="00233A0E" w:rsidRPr="00FA449D" w14:paraId="6DB6C85C" w14:textId="77777777" w:rsidTr="00D104E2">
        <w:trPr>
          <w:trHeight w:val="300"/>
        </w:trPr>
        <w:tc>
          <w:tcPr>
            <w:tcW w:w="4506" w:type="dxa"/>
            <w:shd w:val="clear" w:color="000000" w:fill="FFFFFF"/>
            <w:noWrap/>
            <w:vAlign w:val="bottom"/>
            <w:hideMark/>
          </w:tcPr>
          <w:p w14:paraId="05BCACB5" w14:textId="20C60484" w:rsidR="00233A0E" w:rsidRPr="00FA449D" w:rsidRDefault="00D104E2" w:rsidP="00233A0E">
            <w:pPr>
              <w:rPr>
                <w:rFonts w:ascii="Arial" w:eastAsia="Times New Roman" w:hAnsi="Arial" w:cs="Arial"/>
                <w:color w:val="000000"/>
              </w:rPr>
            </w:pPr>
            <w:r w:rsidRPr="00FA449D">
              <w:rPr>
                <w:rFonts w:ascii="Arial" w:eastAsia="Times New Roman" w:hAnsi="Arial" w:cs="Arial"/>
                <w:color w:val="000000"/>
              </w:rPr>
              <w:t>2007</w:t>
            </w:r>
            <w:r w:rsidR="0095083B">
              <w:rPr>
                <w:rFonts w:ascii="Arial" w:hAnsi="Arial" w:cs="Arial"/>
              </w:rPr>
              <w:t>–</w:t>
            </w:r>
            <w:r w:rsidRPr="00FA449D">
              <w:rPr>
                <w:rFonts w:ascii="Arial" w:eastAsia="Times New Roman" w:hAnsi="Arial" w:cs="Arial"/>
                <w:color w:val="000000"/>
              </w:rPr>
              <w:t>20</w:t>
            </w:r>
            <w:r w:rsidR="00233A0E" w:rsidRPr="00FA449D">
              <w:rPr>
                <w:rFonts w:ascii="Arial" w:eastAsia="Times New Roman" w:hAnsi="Arial" w:cs="Arial"/>
                <w:color w:val="000000"/>
              </w:rPr>
              <w:t>08</w:t>
            </w:r>
          </w:p>
        </w:tc>
        <w:tc>
          <w:tcPr>
            <w:tcW w:w="1274" w:type="dxa"/>
            <w:shd w:val="clear" w:color="000000" w:fill="FFFFFF"/>
            <w:noWrap/>
            <w:vAlign w:val="bottom"/>
            <w:hideMark/>
          </w:tcPr>
          <w:p w14:paraId="323A409F" w14:textId="5F8D311B" w:rsidR="00233A0E" w:rsidRPr="00FA449D" w:rsidRDefault="00233A0E" w:rsidP="001D107D">
            <w:pPr>
              <w:rPr>
                <w:rFonts w:ascii="Arial" w:eastAsia="Times New Roman" w:hAnsi="Arial" w:cs="Arial"/>
              </w:rPr>
            </w:pPr>
            <w:r w:rsidRPr="00FA449D">
              <w:rPr>
                <w:rFonts w:ascii="Arial" w:eastAsia="Times New Roman" w:hAnsi="Arial" w:cs="Arial"/>
              </w:rPr>
              <w:t xml:space="preserve">$305.0 </w:t>
            </w:r>
          </w:p>
        </w:tc>
        <w:tc>
          <w:tcPr>
            <w:tcW w:w="1884" w:type="dxa"/>
            <w:shd w:val="clear" w:color="000000" w:fill="FFFFFF"/>
            <w:noWrap/>
            <w:vAlign w:val="bottom"/>
            <w:hideMark/>
          </w:tcPr>
          <w:p w14:paraId="7FCDD552" w14:textId="41DA8991" w:rsidR="00233A0E" w:rsidRPr="00FA449D" w:rsidRDefault="00233A0E" w:rsidP="001D107D">
            <w:pPr>
              <w:rPr>
                <w:rFonts w:ascii="Arial" w:eastAsia="Times New Roman" w:hAnsi="Arial" w:cs="Arial"/>
              </w:rPr>
            </w:pPr>
            <w:r w:rsidRPr="00FA449D">
              <w:rPr>
                <w:rFonts w:ascii="Arial" w:eastAsia="Times New Roman" w:hAnsi="Arial" w:cs="Arial"/>
              </w:rPr>
              <w:t xml:space="preserve">$52.5 </w:t>
            </w:r>
          </w:p>
        </w:tc>
        <w:tc>
          <w:tcPr>
            <w:tcW w:w="1580" w:type="dxa"/>
            <w:shd w:val="clear" w:color="000000" w:fill="FFFFFF"/>
            <w:noWrap/>
            <w:vAlign w:val="bottom"/>
            <w:hideMark/>
          </w:tcPr>
          <w:p w14:paraId="167DA886" w14:textId="6C8476E1"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$357.4 </w:t>
            </w:r>
          </w:p>
        </w:tc>
      </w:tr>
      <w:tr w:rsidR="00233A0E" w:rsidRPr="00FA449D" w14:paraId="70B57C2B" w14:textId="77777777" w:rsidTr="00D104E2">
        <w:trPr>
          <w:trHeight w:val="300"/>
        </w:trPr>
        <w:tc>
          <w:tcPr>
            <w:tcW w:w="4506" w:type="dxa"/>
            <w:shd w:val="clear" w:color="000000" w:fill="FFFFFF"/>
            <w:noWrap/>
            <w:vAlign w:val="bottom"/>
            <w:hideMark/>
          </w:tcPr>
          <w:p w14:paraId="18316DA8" w14:textId="32C3E7AD" w:rsidR="00233A0E" w:rsidRPr="00FA449D" w:rsidRDefault="00D104E2" w:rsidP="00233A0E">
            <w:pPr>
              <w:rPr>
                <w:rFonts w:ascii="Arial" w:eastAsia="Times New Roman" w:hAnsi="Arial" w:cs="Arial"/>
                <w:color w:val="000000"/>
              </w:rPr>
            </w:pPr>
            <w:r w:rsidRPr="00FA449D">
              <w:rPr>
                <w:rFonts w:ascii="Arial" w:eastAsia="Times New Roman" w:hAnsi="Arial" w:cs="Arial"/>
                <w:color w:val="000000"/>
              </w:rPr>
              <w:t>2008</w:t>
            </w:r>
            <w:r w:rsidR="0095083B">
              <w:rPr>
                <w:rFonts w:ascii="Arial" w:hAnsi="Arial" w:cs="Arial"/>
              </w:rPr>
              <w:t>–</w:t>
            </w:r>
            <w:r w:rsidRPr="00FA449D">
              <w:rPr>
                <w:rFonts w:ascii="Arial" w:eastAsia="Times New Roman" w:hAnsi="Arial" w:cs="Arial"/>
                <w:color w:val="000000"/>
              </w:rPr>
              <w:t>20</w:t>
            </w:r>
            <w:r w:rsidR="00233A0E" w:rsidRPr="00FA449D">
              <w:rPr>
                <w:rFonts w:ascii="Arial" w:eastAsia="Times New Roman" w:hAnsi="Arial" w:cs="Arial"/>
                <w:color w:val="000000"/>
              </w:rPr>
              <w:t>09</w:t>
            </w:r>
          </w:p>
        </w:tc>
        <w:tc>
          <w:tcPr>
            <w:tcW w:w="1274" w:type="dxa"/>
            <w:shd w:val="clear" w:color="000000" w:fill="FFFFFF"/>
            <w:noWrap/>
            <w:vAlign w:val="bottom"/>
            <w:hideMark/>
          </w:tcPr>
          <w:p w14:paraId="3B487FCD" w14:textId="46A1B01A" w:rsidR="00233A0E" w:rsidRPr="00FA449D" w:rsidRDefault="00233A0E" w:rsidP="001D107D">
            <w:pPr>
              <w:rPr>
                <w:rFonts w:ascii="Arial" w:eastAsia="Times New Roman" w:hAnsi="Arial" w:cs="Arial"/>
              </w:rPr>
            </w:pPr>
            <w:r w:rsidRPr="00FA449D">
              <w:rPr>
                <w:rFonts w:ascii="Arial" w:eastAsia="Times New Roman" w:hAnsi="Arial" w:cs="Arial"/>
              </w:rPr>
              <w:t xml:space="preserve">$349.6 </w:t>
            </w:r>
          </w:p>
        </w:tc>
        <w:tc>
          <w:tcPr>
            <w:tcW w:w="1884" w:type="dxa"/>
            <w:shd w:val="clear" w:color="000000" w:fill="FFFFFF"/>
            <w:noWrap/>
            <w:vAlign w:val="bottom"/>
            <w:hideMark/>
          </w:tcPr>
          <w:p w14:paraId="675BB708" w14:textId="77DC6174" w:rsidR="00233A0E" w:rsidRPr="00FA449D" w:rsidRDefault="00233A0E" w:rsidP="001D107D">
            <w:pPr>
              <w:rPr>
                <w:rFonts w:ascii="Arial" w:eastAsia="Times New Roman" w:hAnsi="Arial" w:cs="Arial"/>
              </w:rPr>
            </w:pPr>
            <w:r w:rsidRPr="00FA449D">
              <w:rPr>
                <w:rFonts w:ascii="Arial" w:eastAsia="Times New Roman" w:hAnsi="Arial" w:cs="Arial"/>
              </w:rPr>
              <w:t xml:space="preserve">$75.5 </w:t>
            </w:r>
          </w:p>
        </w:tc>
        <w:tc>
          <w:tcPr>
            <w:tcW w:w="1580" w:type="dxa"/>
            <w:shd w:val="clear" w:color="000000" w:fill="FFFFFF"/>
            <w:noWrap/>
            <w:vAlign w:val="bottom"/>
            <w:hideMark/>
          </w:tcPr>
          <w:p w14:paraId="4489ACC3" w14:textId="30D17E6A"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$425.1 </w:t>
            </w:r>
          </w:p>
        </w:tc>
      </w:tr>
      <w:tr w:rsidR="00233A0E" w:rsidRPr="00FA449D" w14:paraId="49650071" w14:textId="77777777" w:rsidTr="00D104E2">
        <w:trPr>
          <w:trHeight w:val="300"/>
        </w:trPr>
        <w:tc>
          <w:tcPr>
            <w:tcW w:w="4506" w:type="dxa"/>
            <w:shd w:val="clear" w:color="000000" w:fill="FFFFFF"/>
            <w:noWrap/>
            <w:vAlign w:val="bottom"/>
            <w:hideMark/>
          </w:tcPr>
          <w:p w14:paraId="7D697AD3" w14:textId="0BB54FE3" w:rsidR="00233A0E" w:rsidRPr="00FA449D" w:rsidRDefault="00D104E2" w:rsidP="00233A0E">
            <w:pPr>
              <w:rPr>
                <w:rFonts w:ascii="Arial" w:eastAsia="Times New Roman" w:hAnsi="Arial" w:cs="Arial"/>
                <w:color w:val="000000"/>
              </w:rPr>
            </w:pPr>
            <w:r w:rsidRPr="00FA449D">
              <w:rPr>
                <w:rFonts w:ascii="Arial" w:eastAsia="Times New Roman" w:hAnsi="Arial" w:cs="Arial"/>
                <w:color w:val="000000"/>
              </w:rPr>
              <w:t>2009</w:t>
            </w:r>
            <w:r w:rsidR="0095083B">
              <w:rPr>
                <w:rFonts w:ascii="Arial" w:hAnsi="Arial" w:cs="Arial"/>
              </w:rPr>
              <w:t>–</w:t>
            </w:r>
            <w:r w:rsidRPr="00FA449D">
              <w:rPr>
                <w:rFonts w:ascii="Arial" w:eastAsia="Times New Roman" w:hAnsi="Arial" w:cs="Arial"/>
                <w:color w:val="000000"/>
              </w:rPr>
              <w:t>20</w:t>
            </w:r>
            <w:r w:rsidR="00233A0E" w:rsidRPr="00FA449D">
              <w:rPr>
                <w:rFonts w:ascii="Arial" w:eastAsia="Times New Roman" w:hAnsi="Arial" w:cs="Arial"/>
                <w:color w:val="000000"/>
              </w:rPr>
              <w:t>10</w:t>
            </w:r>
          </w:p>
        </w:tc>
        <w:tc>
          <w:tcPr>
            <w:tcW w:w="1274" w:type="dxa"/>
            <w:shd w:val="clear" w:color="000000" w:fill="FFFFFF"/>
            <w:noWrap/>
            <w:vAlign w:val="bottom"/>
            <w:hideMark/>
          </w:tcPr>
          <w:p w14:paraId="5299DE92" w14:textId="43EDA060" w:rsidR="00233A0E" w:rsidRPr="00FA449D" w:rsidRDefault="00233A0E" w:rsidP="001D107D">
            <w:pPr>
              <w:rPr>
                <w:rFonts w:ascii="Arial" w:eastAsia="Times New Roman" w:hAnsi="Arial" w:cs="Arial"/>
              </w:rPr>
            </w:pPr>
            <w:r w:rsidRPr="00FA449D">
              <w:rPr>
                <w:rFonts w:ascii="Arial" w:eastAsia="Times New Roman" w:hAnsi="Arial" w:cs="Arial"/>
              </w:rPr>
              <w:t xml:space="preserve">$391.9 </w:t>
            </w:r>
          </w:p>
        </w:tc>
        <w:tc>
          <w:tcPr>
            <w:tcW w:w="1884" w:type="dxa"/>
            <w:shd w:val="clear" w:color="000000" w:fill="FFFFFF"/>
            <w:noWrap/>
            <w:vAlign w:val="bottom"/>
            <w:hideMark/>
          </w:tcPr>
          <w:p w14:paraId="73FC72DC" w14:textId="5C93A0EA" w:rsidR="00233A0E" w:rsidRPr="00FA449D" w:rsidRDefault="00233A0E" w:rsidP="001D107D">
            <w:pPr>
              <w:rPr>
                <w:rFonts w:ascii="Arial" w:eastAsia="Times New Roman" w:hAnsi="Arial" w:cs="Arial"/>
              </w:rPr>
            </w:pPr>
            <w:r w:rsidRPr="00FA449D">
              <w:rPr>
                <w:rFonts w:ascii="Arial" w:eastAsia="Times New Roman" w:hAnsi="Arial" w:cs="Arial"/>
              </w:rPr>
              <w:t xml:space="preserve">$77.6 </w:t>
            </w:r>
          </w:p>
        </w:tc>
        <w:tc>
          <w:tcPr>
            <w:tcW w:w="1580" w:type="dxa"/>
            <w:shd w:val="clear" w:color="000000" w:fill="FFFFFF"/>
            <w:noWrap/>
            <w:vAlign w:val="bottom"/>
            <w:hideMark/>
          </w:tcPr>
          <w:p w14:paraId="36CF4A5F" w14:textId="6FEB78E7"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$469.5 </w:t>
            </w:r>
          </w:p>
        </w:tc>
      </w:tr>
      <w:tr w:rsidR="00233A0E" w:rsidRPr="00FA449D" w14:paraId="2888324C" w14:textId="77777777" w:rsidTr="00D104E2">
        <w:trPr>
          <w:trHeight w:val="300"/>
        </w:trPr>
        <w:tc>
          <w:tcPr>
            <w:tcW w:w="4506" w:type="dxa"/>
            <w:shd w:val="clear" w:color="000000" w:fill="FFFFFF"/>
            <w:noWrap/>
            <w:vAlign w:val="bottom"/>
            <w:hideMark/>
          </w:tcPr>
          <w:p w14:paraId="42CED866" w14:textId="6785D6C8" w:rsidR="00233A0E" w:rsidRPr="00FA449D" w:rsidRDefault="00D104E2" w:rsidP="00233A0E">
            <w:pPr>
              <w:rPr>
                <w:rFonts w:ascii="Arial" w:eastAsia="Times New Roman" w:hAnsi="Arial" w:cs="Arial"/>
              </w:rPr>
            </w:pPr>
            <w:r w:rsidRPr="00FA449D">
              <w:rPr>
                <w:rFonts w:ascii="Arial" w:eastAsia="Times New Roman" w:hAnsi="Arial" w:cs="Arial"/>
              </w:rPr>
              <w:t>2010</w:t>
            </w:r>
            <w:r w:rsidR="0095083B">
              <w:rPr>
                <w:rFonts w:ascii="Arial" w:hAnsi="Arial" w:cs="Arial"/>
              </w:rPr>
              <w:t>–</w:t>
            </w:r>
            <w:r w:rsidRPr="00FA449D">
              <w:rPr>
                <w:rFonts w:ascii="Arial" w:eastAsia="Times New Roman" w:hAnsi="Arial" w:cs="Arial"/>
              </w:rPr>
              <w:t>20</w:t>
            </w:r>
            <w:r w:rsidR="00233A0E" w:rsidRPr="00FA449D">
              <w:rPr>
                <w:rFonts w:ascii="Arial" w:eastAsia="Times New Roman" w:hAnsi="Arial" w:cs="Arial"/>
              </w:rPr>
              <w:t xml:space="preserve">11 </w:t>
            </w:r>
          </w:p>
        </w:tc>
        <w:tc>
          <w:tcPr>
            <w:tcW w:w="1274" w:type="dxa"/>
            <w:shd w:val="clear" w:color="000000" w:fill="FFFFFF"/>
            <w:noWrap/>
            <w:vAlign w:val="bottom"/>
            <w:hideMark/>
          </w:tcPr>
          <w:p w14:paraId="1450A9BC" w14:textId="0E2E4EEE" w:rsidR="00233A0E" w:rsidRPr="00FA449D" w:rsidRDefault="00233A0E" w:rsidP="001D107D">
            <w:pPr>
              <w:rPr>
                <w:rFonts w:ascii="Arial" w:eastAsia="Times New Roman" w:hAnsi="Arial" w:cs="Arial"/>
              </w:rPr>
            </w:pPr>
            <w:r w:rsidRPr="00FA449D">
              <w:rPr>
                <w:rFonts w:ascii="Arial" w:eastAsia="Times New Roman" w:hAnsi="Arial" w:cs="Arial"/>
              </w:rPr>
              <w:t xml:space="preserve">$434.4 </w:t>
            </w:r>
          </w:p>
        </w:tc>
        <w:tc>
          <w:tcPr>
            <w:tcW w:w="1884" w:type="dxa"/>
            <w:shd w:val="clear" w:color="000000" w:fill="FFFFFF"/>
            <w:noWrap/>
            <w:vAlign w:val="bottom"/>
            <w:hideMark/>
          </w:tcPr>
          <w:p w14:paraId="758C3B41" w14:textId="269121ED" w:rsidR="00233A0E" w:rsidRPr="00FA449D" w:rsidRDefault="00233A0E" w:rsidP="001D107D">
            <w:pPr>
              <w:rPr>
                <w:rFonts w:ascii="Arial" w:eastAsia="Times New Roman" w:hAnsi="Arial" w:cs="Arial"/>
              </w:rPr>
            </w:pPr>
            <w:r w:rsidRPr="00FA449D">
              <w:rPr>
                <w:rFonts w:ascii="Arial" w:eastAsia="Times New Roman" w:hAnsi="Arial" w:cs="Arial"/>
              </w:rPr>
              <w:t xml:space="preserve">$94.4 </w:t>
            </w:r>
          </w:p>
        </w:tc>
        <w:tc>
          <w:tcPr>
            <w:tcW w:w="1580" w:type="dxa"/>
            <w:shd w:val="clear" w:color="000000" w:fill="FFFFFF"/>
            <w:noWrap/>
            <w:vAlign w:val="bottom"/>
            <w:hideMark/>
          </w:tcPr>
          <w:p w14:paraId="1FCA2207" w14:textId="378A324D"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$528.8 </w:t>
            </w:r>
          </w:p>
        </w:tc>
      </w:tr>
      <w:tr w:rsidR="00233A0E" w:rsidRPr="00FA449D" w14:paraId="6C4A6551" w14:textId="77777777" w:rsidTr="00D104E2">
        <w:trPr>
          <w:trHeight w:val="300"/>
        </w:trPr>
        <w:tc>
          <w:tcPr>
            <w:tcW w:w="4506" w:type="dxa"/>
            <w:shd w:val="clear" w:color="auto" w:fill="auto"/>
            <w:noWrap/>
            <w:vAlign w:val="bottom"/>
            <w:hideMark/>
          </w:tcPr>
          <w:p w14:paraId="0BFE5997" w14:textId="196B2197" w:rsidR="00233A0E" w:rsidRPr="00FA449D" w:rsidRDefault="00D104E2" w:rsidP="00233A0E">
            <w:pPr>
              <w:rPr>
                <w:rFonts w:ascii="Arial" w:eastAsia="Times New Roman" w:hAnsi="Arial" w:cs="Arial"/>
                <w:color w:val="000000"/>
              </w:rPr>
            </w:pPr>
            <w:r w:rsidRPr="00FA449D">
              <w:rPr>
                <w:rFonts w:ascii="Arial" w:eastAsia="Times New Roman" w:hAnsi="Arial" w:cs="Arial"/>
                <w:color w:val="000000"/>
              </w:rPr>
              <w:t>2011</w:t>
            </w:r>
            <w:r w:rsidR="0095083B">
              <w:rPr>
                <w:rFonts w:ascii="Arial" w:hAnsi="Arial" w:cs="Arial"/>
              </w:rPr>
              <w:t>–</w:t>
            </w:r>
            <w:r w:rsidRPr="00FA449D">
              <w:rPr>
                <w:rFonts w:ascii="Arial" w:eastAsia="Times New Roman" w:hAnsi="Arial" w:cs="Arial"/>
                <w:color w:val="000000"/>
              </w:rPr>
              <w:t>20</w:t>
            </w:r>
            <w:r w:rsidR="00233A0E" w:rsidRPr="00FA449D">
              <w:rPr>
                <w:rFonts w:ascii="Arial" w:eastAsia="Times New Roman" w:hAnsi="Arial" w:cs="Arial"/>
                <w:color w:val="000000"/>
              </w:rPr>
              <w:t>12</w:t>
            </w:r>
          </w:p>
        </w:tc>
        <w:tc>
          <w:tcPr>
            <w:tcW w:w="1274" w:type="dxa"/>
            <w:shd w:val="clear" w:color="auto" w:fill="auto"/>
            <w:noWrap/>
            <w:vAlign w:val="bottom"/>
            <w:hideMark/>
          </w:tcPr>
          <w:p w14:paraId="37BFB060" w14:textId="2196C1F3"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$532.4 </w:t>
            </w:r>
          </w:p>
        </w:tc>
        <w:tc>
          <w:tcPr>
            <w:tcW w:w="1884" w:type="dxa"/>
            <w:shd w:val="clear" w:color="auto" w:fill="auto"/>
            <w:noWrap/>
            <w:vAlign w:val="bottom"/>
            <w:hideMark/>
          </w:tcPr>
          <w:p w14:paraId="4FDE2765" w14:textId="28CF50AC"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$110.3 </w:t>
            </w:r>
          </w:p>
        </w:tc>
        <w:tc>
          <w:tcPr>
            <w:tcW w:w="1580" w:type="dxa"/>
            <w:shd w:val="clear" w:color="auto" w:fill="auto"/>
            <w:noWrap/>
            <w:vAlign w:val="bottom"/>
            <w:hideMark/>
          </w:tcPr>
          <w:p w14:paraId="189A2356" w14:textId="4BB87B87"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$642.7 </w:t>
            </w:r>
          </w:p>
        </w:tc>
      </w:tr>
      <w:tr w:rsidR="00233A0E" w:rsidRPr="00FA449D" w14:paraId="41B2F5D7" w14:textId="77777777" w:rsidTr="00D104E2">
        <w:trPr>
          <w:trHeight w:val="300"/>
        </w:trPr>
        <w:tc>
          <w:tcPr>
            <w:tcW w:w="4506" w:type="dxa"/>
            <w:shd w:val="clear" w:color="auto" w:fill="auto"/>
            <w:noWrap/>
            <w:vAlign w:val="bottom"/>
            <w:hideMark/>
          </w:tcPr>
          <w:p w14:paraId="7D1DD4C6" w14:textId="3A8432A9" w:rsidR="00233A0E" w:rsidRPr="00FA449D" w:rsidRDefault="00D104E2" w:rsidP="00233A0E">
            <w:pPr>
              <w:rPr>
                <w:rFonts w:ascii="Arial" w:eastAsia="Times New Roman" w:hAnsi="Arial" w:cs="Arial"/>
                <w:color w:val="000000"/>
              </w:rPr>
            </w:pPr>
            <w:r w:rsidRPr="00FA449D">
              <w:rPr>
                <w:rFonts w:ascii="Arial" w:eastAsia="Times New Roman" w:hAnsi="Arial" w:cs="Arial"/>
                <w:color w:val="000000"/>
              </w:rPr>
              <w:t>2012</w:t>
            </w:r>
            <w:r w:rsidR="0095083B">
              <w:rPr>
                <w:rFonts w:ascii="Arial" w:hAnsi="Arial" w:cs="Arial"/>
              </w:rPr>
              <w:t>–</w:t>
            </w:r>
            <w:r w:rsidRPr="00FA449D">
              <w:rPr>
                <w:rFonts w:ascii="Arial" w:eastAsia="Times New Roman" w:hAnsi="Arial" w:cs="Arial"/>
                <w:color w:val="000000"/>
              </w:rPr>
              <w:t>20</w:t>
            </w:r>
            <w:r w:rsidR="008255C2">
              <w:rPr>
                <w:rFonts w:ascii="Arial" w:eastAsia="Times New Roman" w:hAnsi="Arial" w:cs="Arial"/>
                <w:color w:val="000000"/>
              </w:rPr>
              <w:t>13 estimated a</w:t>
            </w:r>
            <w:r w:rsidR="00233A0E" w:rsidRPr="00FA449D">
              <w:rPr>
                <w:rFonts w:ascii="Arial" w:eastAsia="Times New Roman" w:hAnsi="Arial" w:cs="Arial"/>
                <w:color w:val="000000"/>
              </w:rPr>
              <w:t>ctual</w:t>
            </w:r>
          </w:p>
        </w:tc>
        <w:tc>
          <w:tcPr>
            <w:tcW w:w="1274" w:type="dxa"/>
            <w:shd w:val="clear" w:color="auto" w:fill="auto"/>
            <w:noWrap/>
            <w:vAlign w:val="bottom"/>
            <w:hideMark/>
          </w:tcPr>
          <w:p w14:paraId="7C78B5F9" w14:textId="2F9B57AD"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$577.9 </w:t>
            </w:r>
          </w:p>
        </w:tc>
        <w:tc>
          <w:tcPr>
            <w:tcW w:w="1884" w:type="dxa"/>
            <w:shd w:val="clear" w:color="auto" w:fill="auto"/>
            <w:noWrap/>
            <w:vAlign w:val="bottom"/>
            <w:hideMark/>
          </w:tcPr>
          <w:p w14:paraId="3DEA1003" w14:textId="3456AC94"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$126.7 </w:t>
            </w:r>
          </w:p>
        </w:tc>
        <w:tc>
          <w:tcPr>
            <w:tcW w:w="1580" w:type="dxa"/>
            <w:shd w:val="clear" w:color="auto" w:fill="auto"/>
            <w:noWrap/>
            <w:vAlign w:val="bottom"/>
            <w:hideMark/>
          </w:tcPr>
          <w:p w14:paraId="577514FC" w14:textId="7F67D5C9"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$704.6 </w:t>
            </w:r>
          </w:p>
        </w:tc>
      </w:tr>
      <w:tr w:rsidR="00233A0E" w:rsidRPr="00FA449D" w14:paraId="16D2AB1E" w14:textId="77777777" w:rsidTr="00D104E2">
        <w:trPr>
          <w:trHeight w:val="300"/>
        </w:trPr>
        <w:tc>
          <w:tcPr>
            <w:tcW w:w="4506" w:type="dxa"/>
            <w:shd w:val="clear" w:color="auto" w:fill="auto"/>
            <w:noWrap/>
            <w:vAlign w:val="bottom"/>
            <w:hideMark/>
          </w:tcPr>
          <w:p w14:paraId="098E2156" w14:textId="72958F85" w:rsidR="00233A0E" w:rsidRPr="00FA449D" w:rsidRDefault="00D104E2" w:rsidP="00233A0E">
            <w:pPr>
              <w:rPr>
                <w:rFonts w:ascii="Arial" w:eastAsia="Times New Roman" w:hAnsi="Arial" w:cs="Arial"/>
                <w:color w:val="000000"/>
              </w:rPr>
            </w:pPr>
            <w:r w:rsidRPr="00FA449D">
              <w:rPr>
                <w:rFonts w:ascii="Arial" w:eastAsia="Times New Roman" w:hAnsi="Arial" w:cs="Arial"/>
                <w:color w:val="000000"/>
              </w:rPr>
              <w:t>2013</w:t>
            </w:r>
            <w:r w:rsidR="0095083B">
              <w:rPr>
                <w:rFonts w:ascii="Arial" w:hAnsi="Arial" w:cs="Arial"/>
              </w:rPr>
              <w:t>–</w:t>
            </w:r>
            <w:r w:rsidRPr="00FA449D">
              <w:rPr>
                <w:rFonts w:ascii="Arial" w:eastAsia="Times New Roman" w:hAnsi="Arial" w:cs="Arial"/>
                <w:color w:val="000000"/>
              </w:rPr>
              <w:t>20</w:t>
            </w:r>
            <w:r w:rsidR="008255C2">
              <w:rPr>
                <w:rFonts w:ascii="Arial" w:eastAsia="Times New Roman" w:hAnsi="Arial" w:cs="Arial"/>
                <w:color w:val="000000"/>
              </w:rPr>
              <w:t>14 budget e</w:t>
            </w:r>
            <w:r w:rsidR="00233A0E" w:rsidRPr="00FA449D">
              <w:rPr>
                <w:rFonts w:ascii="Arial" w:eastAsia="Times New Roman" w:hAnsi="Arial" w:cs="Arial"/>
                <w:color w:val="000000"/>
              </w:rPr>
              <w:t>stimate</w:t>
            </w:r>
          </w:p>
        </w:tc>
        <w:tc>
          <w:tcPr>
            <w:tcW w:w="1274" w:type="dxa"/>
            <w:shd w:val="clear" w:color="auto" w:fill="auto"/>
            <w:noWrap/>
            <w:vAlign w:val="bottom"/>
            <w:hideMark/>
          </w:tcPr>
          <w:p w14:paraId="2CA186C2" w14:textId="757F5DDD"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$636.8 </w:t>
            </w:r>
          </w:p>
        </w:tc>
        <w:tc>
          <w:tcPr>
            <w:tcW w:w="1884" w:type="dxa"/>
            <w:shd w:val="clear" w:color="auto" w:fill="auto"/>
            <w:noWrap/>
            <w:vAlign w:val="bottom"/>
            <w:hideMark/>
          </w:tcPr>
          <w:p w14:paraId="4BBB81E3" w14:textId="7C27784A"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$146.2 </w:t>
            </w:r>
          </w:p>
        </w:tc>
        <w:tc>
          <w:tcPr>
            <w:tcW w:w="1580" w:type="dxa"/>
            <w:shd w:val="clear" w:color="auto" w:fill="auto"/>
            <w:noWrap/>
            <w:vAlign w:val="bottom"/>
            <w:hideMark/>
          </w:tcPr>
          <w:p w14:paraId="7372D141" w14:textId="4D8187DD" w:rsidR="00233A0E" w:rsidRPr="00FA449D" w:rsidRDefault="00233A0E" w:rsidP="001D107D">
            <w:pPr>
              <w:rPr>
                <w:rFonts w:ascii="Arial" w:eastAsia="Times New Roman" w:hAnsi="Arial" w:cs="Arial"/>
                <w:color w:val="000000"/>
              </w:rPr>
            </w:pPr>
            <w:r w:rsidRPr="00FA449D">
              <w:rPr>
                <w:rFonts w:ascii="Arial" w:eastAsia="Times New Roman" w:hAnsi="Arial" w:cs="Arial"/>
                <w:color w:val="000000"/>
              </w:rPr>
              <w:t xml:space="preserve">$783.0 </w:t>
            </w:r>
          </w:p>
        </w:tc>
      </w:tr>
    </w:tbl>
    <w:p w14:paraId="756316F9" w14:textId="77777777" w:rsidR="00D80944" w:rsidRDefault="00D80944" w:rsidP="001B34B2">
      <w:pPr>
        <w:pStyle w:val="Default"/>
      </w:pPr>
    </w:p>
    <w:p w14:paraId="32623466" w14:textId="77777777" w:rsidR="001B34B2" w:rsidRDefault="00D80944" w:rsidP="001B34B2">
      <w:pPr>
        <w:widowControl w:val="0"/>
        <w:autoSpaceDE w:val="0"/>
        <w:autoSpaceDN w:val="0"/>
        <w:adjustRightInd w:val="0"/>
        <w:ind w:right="-1826"/>
        <w:rPr>
          <w:rFonts w:ascii="Arial" w:hAnsi="Arial" w:cs="Arial"/>
        </w:rPr>
      </w:pPr>
      <w:r w:rsidRPr="00D80944">
        <w:rPr>
          <w:rFonts w:ascii="Arial" w:hAnsi="Arial" w:cs="Arial"/>
          <w:color w:val="221E1F"/>
          <w:sz w:val="23"/>
          <w:szCs w:val="23"/>
        </w:rPr>
        <w:t>Note: The Commission receives a small amount of revenue from sources other than the State and Commonwealth governments. This revenue accounts for the discrepancy between the total budget and the amount derived from the addition of the State and Commonwealth contributions.</w:t>
      </w:r>
      <w:r>
        <w:rPr>
          <w:rFonts w:ascii="Arial" w:hAnsi="Arial" w:cs="Arial"/>
          <w:color w:val="221E1F"/>
          <w:sz w:val="23"/>
          <w:szCs w:val="23"/>
        </w:rPr>
        <w:br/>
      </w:r>
    </w:p>
    <w:p w14:paraId="236295BB" w14:textId="41219188" w:rsidR="008E01BE" w:rsidRDefault="008E01BE" w:rsidP="001B34B2">
      <w:pPr>
        <w:widowControl w:val="0"/>
        <w:autoSpaceDE w:val="0"/>
        <w:autoSpaceDN w:val="0"/>
        <w:adjustRightInd w:val="0"/>
        <w:ind w:right="-1826"/>
        <w:rPr>
          <w:rFonts w:ascii="Arial" w:hAnsi="Arial" w:cs="Arial"/>
        </w:rPr>
      </w:pPr>
      <w:r>
        <w:rPr>
          <w:rFonts w:ascii="Arial" w:hAnsi="Arial" w:cs="Arial"/>
        </w:rPr>
        <w:t xml:space="preserve">The Western Australian Government’s Continence Management and Support Scheme </w:t>
      </w:r>
      <w:proofErr w:type="gramStart"/>
      <w:r>
        <w:rPr>
          <w:rFonts w:ascii="Arial" w:hAnsi="Arial" w:cs="Arial"/>
        </w:rPr>
        <w:t>has</w:t>
      </w:r>
      <w:proofErr w:type="gramEnd"/>
      <w:r>
        <w:rPr>
          <w:rFonts w:ascii="Arial" w:hAnsi="Arial" w:cs="Arial"/>
        </w:rPr>
        <w:t xml:space="preserve"> received</w:t>
      </w:r>
      <w:r w:rsidR="008255C2">
        <w:rPr>
          <w:rFonts w:ascii="Arial" w:hAnsi="Arial" w:cs="Arial"/>
        </w:rPr>
        <w:t xml:space="preserve"> a one-off $1</w:t>
      </w:r>
      <w:r>
        <w:rPr>
          <w:rFonts w:ascii="Arial" w:hAnsi="Arial" w:cs="Arial"/>
        </w:rPr>
        <w:t>million funding boost to address the waitlist for access to continence products. Currently new users of the service can only access the funding when an existing user no longer requires the funding, resulting in rapid growth in the waitlist.  An assessment of the growth in demand for the Scheme will be undertaken mid-year. It is estimated that the additional funds will enable up to 1,000 additional people to access the subsidy, depending on the levels of assessed need.</w:t>
      </w:r>
    </w:p>
    <w:p w14:paraId="792C7C50" w14:textId="77777777" w:rsidR="001B34B2" w:rsidRDefault="001B34B2" w:rsidP="001B34B2">
      <w:pPr>
        <w:widowControl w:val="0"/>
        <w:autoSpaceDE w:val="0"/>
        <w:autoSpaceDN w:val="0"/>
        <w:adjustRightInd w:val="0"/>
        <w:ind w:right="-1826"/>
        <w:rPr>
          <w:rFonts w:ascii="Arial" w:hAnsi="Arial" w:cs="Arial"/>
          <w:b/>
          <w:bCs/>
          <w:color w:val="005579"/>
          <w:sz w:val="28"/>
          <w:szCs w:val="28"/>
        </w:rPr>
      </w:pPr>
    </w:p>
    <w:p w14:paraId="1816E9EC" w14:textId="77777777" w:rsidR="008E01BE" w:rsidRDefault="008E01BE" w:rsidP="001B34B2">
      <w:pPr>
        <w:widowControl w:val="0"/>
        <w:autoSpaceDE w:val="0"/>
        <w:autoSpaceDN w:val="0"/>
        <w:adjustRightInd w:val="0"/>
        <w:ind w:right="-1826"/>
        <w:rPr>
          <w:rFonts w:ascii="Arial" w:hAnsi="Arial" w:cs="Arial"/>
          <w:b/>
          <w:bCs/>
          <w:color w:val="005579"/>
          <w:sz w:val="28"/>
          <w:szCs w:val="28"/>
        </w:rPr>
      </w:pPr>
      <w:r>
        <w:rPr>
          <w:rFonts w:ascii="Arial" w:hAnsi="Arial" w:cs="Arial"/>
          <w:b/>
          <w:bCs/>
          <w:color w:val="005579"/>
          <w:sz w:val="28"/>
          <w:szCs w:val="28"/>
        </w:rPr>
        <w:t>Election commitments</w:t>
      </w:r>
    </w:p>
    <w:p w14:paraId="3AAA0C6A" w14:textId="77777777" w:rsidR="001B34B2" w:rsidRDefault="001B34B2" w:rsidP="001B34B2">
      <w:pPr>
        <w:widowControl w:val="0"/>
        <w:autoSpaceDE w:val="0"/>
        <w:autoSpaceDN w:val="0"/>
        <w:adjustRightInd w:val="0"/>
        <w:ind w:right="-1826"/>
        <w:rPr>
          <w:rFonts w:ascii="Arial" w:hAnsi="Arial" w:cs="Arial"/>
        </w:rPr>
      </w:pPr>
    </w:p>
    <w:p w14:paraId="4218C50C" w14:textId="77777777" w:rsidR="008E01BE" w:rsidRDefault="008E01BE" w:rsidP="001B34B2">
      <w:pPr>
        <w:widowControl w:val="0"/>
        <w:autoSpaceDE w:val="0"/>
        <w:autoSpaceDN w:val="0"/>
        <w:adjustRightInd w:val="0"/>
        <w:ind w:right="-1826"/>
        <w:rPr>
          <w:rFonts w:ascii="Arial" w:hAnsi="Arial" w:cs="Arial"/>
        </w:rPr>
      </w:pPr>
      <w:r>
        <w:rPr>
          <w:rFonts w:ascii="Arial" w:hAnsi="Arial" w:cs="Arial"/>
        </w:rPr>
        <w:t>During the recent State election the WA Government committed to additional support for people with disability, their families and carers. Some of the initiatives include:</w:t>
      </w:r>
    </w:p>
    <w:p w14:paraId="28AB0205" w14:textId="77777777" w:rsidR="001B34B2" w:rsidRDefault="001B34B2" w:rsidP="001B34B2">
      <w:pPr>
        <w:widowControl w:val="0"/>
        <w:autoSpaceDE w:val="0"/>
        <w:autoSpaceDN w:val="0"/>
        <w:adjustRightInd w:val="0"/>
        <w:ind w:right="-1826"/>
        <w:rPr>
          <w:rFonts w:ascii="Arial" w:hAnsi="Arial" w:cs="Arial"/>
          <w:b/>
          <w:bCs/>
        </w:rPr>
      </w:pPr>
    </w:p>
    <w:p w14:paraId="4B4C2DAF" w14:textId="77777777" w:rsidR="008E01BE" w:rsidRDefault="008E01BE" w:rsidP="001B34B2">
      <w:pPr>
        <w:widowControl w:val="0"/>
        <w:autoSpaceDE w:val="0"/>
        <w:autoSpaceDN w:val="0"/>
        <w:adjustRightInd w:val="0"/>
        <w:ind w:right="-1826"/>
        <w:rPr>
          <w:rFonts w:ascii="Arial" w:hAnsi="Arial" w:cs="Arial"/>
          <w:b/>
          <w:bCs/>
        </w:rPr>
      </w:pPr>
      <w:r>
        <w:rPr>
          <w:rFonts w:ascii="Arial" w:hAnsi="Arial" w:cs="Arial"/>
          <w:b/>
          <w:bCs/>
        </w:rPr>
        <w:t>Suitable accommodation for young people</w:t>
      </w:r>
    </w:p>
    <w:p w14:paraId="4379468B" w14:textId="77777777" w:rsidR="001B34B2" w:rsidRDefault="001B34B2" w:rsidP="001B34B2">
      <w:pPr>
        <w:widowControl w:val="0"/>
        <w:autoSpaceDE w:val="0"/>
        <w:autoSpaceDN w:val="0"/>
        <w:adjustRightInd w:val="0"/>
        <w:ind w:right="-1826"/>
        <w:rPr>
          <w:rFonts w:ascii="Arial" w:hAnsi="Arial" w:cs="Arial"/>
        </w:rPr>
      </w:pPr>
    </w:p>
    <w:p w14:paraId="448161A0" w14:textId="4A7323FB" w:rsidR="008E01BE" w:rsidRDefault="008E01BE" w:rsidP="001B34B2">
      <w:pPr>
        <w:widowControl w:val="0"/>
        <w:autoSpaceDE w:val="0"/>
        <w:autoSpaceDN w:val="0"/>
        <w:adjustRightInd w:val="0"/>
        <w:ind w:right="-1826"/>
        <w:rPr>
          <w:rFonts w:ascii="Arial" w:hAnsi="Arial" w:cs="Arial"/>
        </w:rPr>
      </w:pPr>
      <w:r>
        <w:rPr>
          <w:rFonts w:ascii="Arial" w:hAnsi="Arial" w:cs="Arial"/>
        </w:rPr>
        <w:t>The Government has announced its intention to further support the establishment of more suitable accommodation options and services for younger people with disability who live in aged care. The purpose of this funding is to ensure that younger people with disability are able to access living arrangements that meet their needs. The benefit of this</w:t>
      </w:r>
      <w:r w:rsidR="00FF0228">
        <w:rPr>
          <w:rFonts w:ascii="Arial" w:hAnsi="Arial" w:cs="Arial"/>
        </w:rPr>
        <w:t xml:space="preserve"> approach includes better whole-of-</w:t>
      </w:r>
      <w:r>
        <w:rPr>
          <w:rFonts w:ascii="Arial" w:hAnsi="Arial" w:cs="Arial"/>
        </w:rPr>
        <w:t>life outcomes and services and supports that can be delivered cost-effectively to the indivi</w:t>
      </w:r>
      <w:r w:rsidR="008255C2">
        <w:rPr>
          <w:rFonts w:ascii="Arial" w:hAnsi="Arial" w:cs="Arial"/>
        </w:rPr>
        <w:t>dual. Commencing in 2014–15, $6</w:t>
      </w:r>
      <w:r>
        <w:rPr>
          <w:rFonts w:ascii="Arial" w:hAnsi="Arial" w:cs="Arial"/>
        </w:rPr>
        <w:t>million in funding will be provided over three years to provide purpose-built housing or enhance support arrangements for younger people with disability.</w:t>
      </w:r>
    </w:p>
    <w:p w14:paraId="1E941C56" w14:textId="77777777" w:rsidR="001B34B2" w:rsidRDefault="001B34B2" w:rsidP="001B34B2">
      <w:pPr>
        <w:widowControl w:val="0"/>
        <w:autoSpaceDE w:val="0"/>
        <w:autoSpaceDN w:val="0"/>
        <w:adjustRightInd w:val="0"/>
        <w:ind w:right="-1826"/>
        <w:rPr>
          <w:rFonts w:ascii="Arial" w:hAnsi="Arial" w:cs="Arial"/>
          <w:b/>
          <w:bCs/>
        </w:rPr>
      </w:pPr>
    </w:p>
    <w:p w14:paraId="328B02CE" w14:textId="77777777" w:rsidR="008E01BE" w:rsidRDefault="008E01BE" w:rsidP="001B34B2">
      <w:pPr>
        <w:widowControl w:val="0"/>
        <w:autoSpaceDE w:val="0"/>
        <w:autoSpaceDN w:val="0"/>
        <w:adjustRightInd w:val="0"/>
        <w:ind w:right="-1826"/>
        <w:rPr>
          <w:rFonts w:ascii="Arial" w:hAnsi="Arial" w:cs="Arial"/>
          <w:b/>
          <w:bCs/>
        </w:rPr>
      </w:pPr>
      <w:r>
        <w:rPr>
          <w:rFonts w:ascii="Arial" w:hAnsi="Arial" w:cs="Arial"/>
          <w:b/>
          <w:bCs/>
        </w:rPr>
        <w:lastRenderedPageBreak/>
        <w:t>ACROD accessible parking</w:t>
      </w:r>
    </w:p>
    <w:p w14:paraId="19F75DD9" w14:textId="048A46B3" w:rsidR="008E01BE" w:rsidRDefault="008255C2" w:rsidP="001B34B2">
      <w:pPr>
        <w:widowControl w:val="0"/>
        <w:autoSpaceDE w:val="0"/>
        <w:autoSpaceDN w:val="0"/>
        <w:adjustRightInd w:val="0"/>
        <w:ind w:right="-1826"/>
        <w:rPr>
          <w:rFonts w:ascii="Arial" w:hAnsi="Arial" w:cs="Arial"/>
        </w:rPr>
      </w:pPr>
      <w:r>
        <w:rPr>
          <w:rFonts w:ascii="Arial" w:hAnsi="Arial" w:cs="Arial"/>
        </w:rPr>
        <w:t>A further $3.7</w:t>
      </w:r>
      <w:r w:rsidR="008E01BE">
        <w:rPr>
          <w:rFonts w:ascii="Arial" w:hAnsi="Arial" w:cs="Arial"/>
        </w:rPr>
        <w:t>million will be spent over four years on ACROD accessible parking permits for about 67,000 eligible West Australians. This Budget initiative aligns Western Australia with the funding support provided in other states and territories to people requiring accessible parking. The intent of this initiative is to ensure that people who require ACROD parking permits in Western Australia are not disadvantaged by additional costs relating to their disability.</w:t>
      </w:r>
    </w:p>
    <w:p w14:paraId="330FE0EA" w14:textId="77777777" w:rsidR="001B34B2" w:rsidRDefault="001B34B2" w:rsidP="001B34B2">
      <w:pPr>
        <w:widowControl w:val="0"/>
        <w:autoSpaceDE w:val="0"/>
        <w:autoSpaceDN w:val="0"/>
        <w:adjustRightInd w:val="0"/>
        <w:ind w:right="-1826"/>
        <w:rPr>
          <w:rFonts w:ascii="Arial" w:hAnsi="Arial" w:cs="Arial"/>
          <w:b/>
          <w:bCs/>
        </w:rPr>
      </w:pPr>
    </w:p>
    <w:p w14:paraId="41D80C79" w14:textId="77777777" w:rsidR="008E01BE" w:rsidRDefault="008E01BE" w:rsidP="001B34B2">
      <w:pPr>
        <w:widowControl w:val="0"/>
        <w:autoSpaceDE w:val="0"/>
        <w:autoSpaceDN w:val="0"/>
        <w:adjustRightInd w:val="0"/>
        <w:ind w:right="-1826"/>
        <w:rPr>
          <w:rFonts w:ascii="Arial" w:hAnsi="Arial" w:cs="Arial"/>
        </w:rPr>
      </w:pPr>
      <w:r>
        <w:rPr>
          <w:rFonts w:ascii="Arial" w:hAnsi="Arial" w:cs="Arial"/>
          <w:b/>
          <w:bCs/>
        </w:rPr>
        <w:t>Support for Australian Disability Enterprises</w:t>
      </w:r>
      <w:r>
        <w:rPr>
          <w:rFonts w:ascii="Arial" w:hAnsi="Arial" w:cs="Arial"/>
        </w:rPr>
        <w:t xml:space="preserve"> </w:t>
      </w:r>
    </w:p>
    <w:p w14:paraId="1863521B" w14:textId="77777777" w:rsidR="008E01BE" w:rsidRDefault="008E01BE" w:rsidP="001B34B2">
      <w:pPr>
        <w:widowControl w:val="0"/>
        <w:autoSpaceDE w:val="0"/>
        <w:autoSpaceDN w:val="0"/>
        <w:adjustRightInd w:val="0"/>
        <w:ind w:right="-1826"/>
        <w:rPr>
          <w:rFonts w:ascii="Arial" w:hAnsi="Arial" w:cs="Arial"/>
        </w:rPr>
      </w:pPr>
      <w:r>
        <w:rPr>
          <w:rFonts w:ascii="Arial" w:hAnsi="Arial" w:cs="Arial"/>
        </w:rPr>
        <w:t xml:space="preserve">The State Government has allocated $457,000 over four years to enable Australian Disability Enterprises (ADEs) to appoint an Executive Officer, located at Good Samaritan Industries, to improve State Government procurement of goods and services from ADEs. This initiative will increase employment opportunities for people with disability by supporting departments and agencies to directly engage an ADE where it represents fair market value to do so. </w:t>
      </w:r>
    </w:p>
    <w:p w14:paraId="74660AE9" w14:textId="77777777" w:rsidR="001B34B2" w:rsidRDefault="001B34B2" w:rsidP="001B34B2">
      <w:pPr>
        <w:widowControl w:val="0"/>
        <w:autoSpaceDE w:val="0"/>
        <w:autoSpaceDN w:val="0"/>
        <w:adjustRightInd w:val="0"/>
        <w:ind w:right="-1826"/>
        <w:rPr>
          <w:rFonts w:ascii="Arial" w:hAnsi="Arial" w:cs="Arial"/>
        </w:rPr>
      </w:pPr>
    </w:p>
    <w:p w14:paraId="3551889C" w14:textId="77777777" w:rsidR="008E01BE" w:rsidRDefault="008E01BE" w:rsidP="001B34B2">
      <w:pPr>
        <w:widowControl w:val="0"/>
        <w:autoSpaceDE w:val="0"/>
        <w:autoSpaceDN w:val="0"/>
        <w:adjustRightInd w:val="0"/>
        <w:ind w:right="-1826"/>
        <w:rPr>
          <w:rFonts w:ascii="Arial" w:hAnsi="Arial" w:cs="Arial"/>
        </w:rPr>
      </w:pPr>
      <w:r>
        <w:rPr>
          <w:rFonts w:ascii="Arial" w:hAnsi="Arial" w:cs="Arial"/>
        </w:rPr>
        <w:t xml:space="preserve">A Procurement Manager at the Department of Finance will work with the ADE Executive Officer, ADEs and government agencies to continue to drive this work. In WA seven ADEs provide supported employment for more than 2,100 people with disability. The ADEs are </w:t>
      </w:r>
      <w:proofErr w:type="spellStart"/>
      <w:r>
        <w:rPr>
          <w:rFonts w:ascii="Arial" w:hAnsi="Arial" w:cs="Arial"/>
        </w:rPr>
        <w:t>Activ</w:t>
      </w:r>
      <w:proofErr w:type="spellEnd"/>
      <w:r>
        <w:rPr>
          <w:rFonts w:ascii="Arial" w:hAnsi="Arial" w:cs="Arial"/>
        </w:rPr>
        <w:t xml:space="preserve">, Goodwill Engineering, Good Samaritan Industries, </w:t>
      </w:r>
      <w:proofErr w:type="spellStart"/>
      <w:r>
        <w:rPr>
          <w:rFonts w:ascii="Arial" w:hAnsi="Arial" w:cs="Arial"/>
        </w:rPr>
        <w:t>Intework</w:t>
      </w:r>
      <w:proofErr w:type="spellEnd"/>
      <w:r>
        <w:rPr>
          <w:rFonts w:ascii="Arial" w:hAnsi="Arial" w:cs="Arial"/>
        </w:rPr>
        <w:t xml:space="preserve"> Incorporated, </w:t>
      </w:r>
      <w:proofErr w:type="spellStart"/>
      <w:r>
        <w:rPr>
          <w:rFonts w:ascii="Arial" w:hAnsi="Arial" w:cs="Arial"/>
        </w:rPr>
        <w:t>Paraquad</w:t>
      </w:r>
      <w:proofErr w:type="spellEnd"/>
      <w:r>
        <w:rPr>
          <w:rFonts w:ascii="Arial" w:hAnsi="Arial" w:cs="Arial"/>
        </w:rPr>
        <w:t xml:space="preserve"> Industries, </w:t>
      </w:r>
      <w:proofErr w:type="spellStart"/>
      <w:r>
        <w:rPr>
          <w:rFonts w:ascii="Arial" w:hAnsi="Arial" w:cs="Arial"/>
        </w:rPr>
        <w:t>Westcare</w:t>
      </w:r>
      <w:proofErr w:type="spellEnd"/>
      <w:r>
        <w:rPr>
          <w:rFonts w:ascii="Arial" w:hAnsi="Arial" w:cs="Arial"/>
        </w:rPr>
        <w:t xml:space="preserve"> and </w:t>
      </w:r>
      <w:proofErr w:type="spellStart"/>
      <w:r>
        <w:rPr>
          <w:rFonts w:ascii="Arial" w:hAnsi="Arial" w:cs="Arial"/>
        </w:rPr>
        <w:t>Westpower</w:t>
      </w:r>
      <w:proofErr w:type="spellEnd"/>
      <w:r>
        <w:rPr>
          <w:rFonts w:ascii="Arial" w:hAnsi="Arial" w:cs="Arial"/>
        </w:rPr>
        <w:t>.</w:t>
      </w:r>
    </w:p>
    <w:p w14:paraId="03344A67" w14:textId="77777777" w:rsidR="001B34B2" w:rsidRDefault="001B34B2" w:rsidP="001B34B2">
      <w:pPr>
        <w:widowControl w:val="0"/>
        <w:autoSpaceDE w:val="0"/>
        <w:autoSpaceDN w:val="0"/>
        <w:adjustRightInd w:val="0"/>
        <w:ind w:right="-1826"/>
        <w:rPr>
          <w:rFonts w:ascii="Arial" w:hAnsi="Arial" w:cs="Arial"/>
        </w:rPr>
      </w:pPr>
    </w:p>
    <w:p w14:paraId="13F2A85C" w14:textId="77777777" w:rsidR="008E01BE" w:rsidRDefault="008E01BE" w:rsidP="001B34B2">
      <w:pPr>
        <w:widowControl w:val="0"/>
        <w:autoSpaceDE w:val="0"/>
        <w:autoSpaceDN w:val="0"/>
        <w:adjustRightInd w:val="0"/>
        <w:ind w:right="-1826"/>
        <w:rPr>
          <w:rFonts w:ascii="Arial" w:hAnsi="Arial" w:cs="Arial"/>
        </w:rPr>
      </w:pPr>
      <w:r>
        <w:rPr>
          <w:rFonts w:ascii="Arial" w:hAnsi="Arial" w:cs="Arial"/>
        </w:rPr>
        <w:t>Other major allocations include Intensive Family Support, Disability Professional Services and the Family Living Initiative.</w:t>
      </w:r>
    </w:p>
    <w:p w14:paraId="0816F949" w14:textId="77777777" w:rsidR="001B34B2" w:rsidRDefault="001B34B2" w:rsidP="001B34B2">
      <w:pPr>
        <w:widowControl w:val="0"/>
        <w:autoSpaceDE w:val="0"/>
        <w:autoSpaceDN w:val="0"/>
        <w:adjustRightInd w:val="0"/>
        <w:ind w:right="-1826"/>
        <w:rPr>
          <w:rFonts w:ascii="Arial" w:hAnsi="Arial" w:cs="Arial"/>
          <w:b/>
          <w:bCs/>
          <w:color w:val="005579"/>
          <w:sz w:val="28"/>
          <w:szCs w:val="28"/>
        </w:rPr>
      </w:pPr>
    </w:p>
    <w:p w14:paraId="5F31832C" w14:textId="77777777" w:rsidR="008E01BE" w:rsidRDefault="008E01BE" w:rsidP="001B34B2">
      <w:pPr>
        <w:widowControl w:val="0"/>
        <w:autoSpaceDE w:val="0"/>
        <w:autoSpaceDN w:val="0"/>
        <w:adjustRightInd w:val="0"/>
        <w:ind w:right="-1826"/>
        <w:rPr>
          <w:rFonts w:ascii="Arial" w:hAnsi="Arial" w:cs="Arial"/>
          <w:b/>
          <w:bCs/>
          <w:color w:val="005579"/>
          <w:sz w:val="28"/>
          <w:szCs w:val="28"/>
        </w:rPr>
      </w:pPr>
      <w:r>
        <w:rPr>
          <w:rFonts w:ascii="Arial" w:hAnsi="Arial" w:cs="Arial"/>
          <w:b/>
          <w:bCs/>
          <w:color w:val="005579"/>
          <w:sz w:val="28"/>
          <w:szCs w:val="28"/>
        </w:rPr>
        <w:t>Allocation of growth funds</w:t>
      </w:r>
    </w:p>
    <w:p w14:paraId="77DC6B28" w14:textId="77777777" w:rsidR="00616CBD" w:rsidRDefault="00616CBD" w:rsidP="001B34B2">
      <w:pPr>
        <w:widowControl w:val="0"/>
        <w:autoSpaceDE w:val="0"/>
        <w:autoSpaceDN w:val="0"/>
        <w:adjustRightInd w:val="0"/>
        <w:ind w:right="-1826"/>
        <w:rPr>
          <w:rFonts w:ascii="Arial" w:hAnsi="Arial" w:cs="Arial"/>
        </w:rPr>
      </w:pPr>
    </w:p>
    <w:p w14:paraId="09822034" w14:textId="35B5F503" w:rsidR="008E01BE" w:rsidRDefault="008E01BE" w:rsidP="001B34B2">
      <w:pPr>
        <w:widowControl w:val="0"/>
        <w:autoSpaceDE w:val="0"/>
        <w:autoSpaceDN w:val="0"/>
        <w:adjustRightInd w:val="0"/>
        <w:ind w:right="-1826"/>
        <w:rPr>
          <w:rFonts w:ascii="Arial" w:hAnsi="Arial" w:cs="Arial"/>
        </w:rPr>
      </w:pPr>
      <w:r>
        <w:rPr>
          <w:rFonts w:ascii="Arial" w:hAnsi="Arial" w:cs="Arial"/>
        </w:rPr>
        <w:t>In 2013–14 th</w:t>
      </w:r>
      <w:r w:rsidR="008255C2">
        <w:rPr>
          <w:rFonts w:ascii="Arial" w:hAnsi="Arial" w:cs="Arial"/>
        </w:rPr>
        <w:t>e Commission has received $32.5</w:t>
      </w:r>
      <w:r>
        <w:rPr>
          <w:rFonts w:ascii="Arial" w:hAnsi="Arial" w:cs="Arial"/>
        </w:rPr>
        <w:t xml:space="preserve">million in growth funding for allocation. Growth funding refers to additional resources provided by the government to meet expected increases in demand for services and is used to support people who are not yet receiving funded services or who require additional services. </w:t>
      </w:r>
    </w:p>
    <w:p w14:paraId="09BD6F9E" w14:textId="77777777" w:rsidR="001B34B2" w:rsidRDefault="001B34B2" w:rsidP="001B34B2">
      <w:pPr>
        <w:widowControl w:val="0"/>
        <w:autoSpaceDE w:val="0"/>
        <w:autoSpaceDN w:val="0"/>
        <w:adjustRightInd w:val="0"/>
        <w:ind w:right="-1826"/>
        <w:rPr>
          <w:rFonts w:ascii="Arial" w:hAnsi="Arial" w:cs="Arial"/>
        </w:rPr>
      </w:pPr>
    </w:p>
    <w:p w14:paraId="601A2FF9" w14:textId="77777777" w:rsidR="008E01BE" w:rsidRDefault="008E01BE" w:rsidP="001B34B2">
      <w:pPr>
        <w:widowControl w:val="0"/>
        <w:autoSpaceDE w:val="0"/>
        <w:autoSpaceDN w:val="0"/>
        <w:adjustRightInd w:val="0"/>
        <w:ind w:right="-1826"/>
        <w:rPr>
          <w:rFonts w:ascii="Arial" w:hAnsi="Arial" w:cs="Arial"/>
        </w:rPr>
      </w:pPr>
      <w:r>
        <w:rPr>
          <w:rFonts w:ascii="Arial" w:hAnsi="Arial" w:cs="Arial"/>
        </w:rPr>
        <w:t xml:space="preserve">With increased flexibility, choice and control for individuals, there is less emphasis on programs and more emphasis on strategies set through individual planning. The allocation framework now provides broad service parameters for the distribution of growth funds; fixed amounts relate to election commitments as described in this bulletin. </w:t>
      </w:r>
    </w:p>
    <w:p w14:paraId="436FC901" w14:textId="77777777" w:rsidR="001B34B2" w:rsidRDefault="001B34B2" w:rsidP="001B34B2">
      <w:pPr>
        <w:widowControl w:val="0"/>
        <w:autoSpaceDE w:val="0"/>
        <w:autoSpaceDN w:val="0"/>
        <w:adjustRightInd w:val="0"/>
        <w:ind w:right="-1826"/>
        <w:rPr>
          <w:rFonts w:ascii="Arial" w:hAnsi="Arial" w:cs="Arial"/>
        </w:rPr>
      </w:pPr>
    </w:p>
    <w:p w14:paraId="67AF4F6D" w14:textId="77777777" w:rsidR="008E01BE" w:rsidRDefault="008E01BE" w:rsidP="001B34B2">
      <w:pPr>
        <w:widowControl w:val="0"/>
        <w:autoSpaceDE w:val="0"/>
        <w:autoSpaceDN w:val="0"/>
        <w:adjustRightInd w:val="0"/>
        <w:ind w:right="-1826"/>
        <w:rPr>
          <w:rFonts w:ascii="Arial" w:hAnsi="Arial" w:cs="Arial"/>
        </w:rPr>
      </w:pPr>
      <w:r>
        <w:rPr>
          <w:rFonts w:ascii="Arial" w:hAnsi="Arial" w:cs="Arial"/>
        </w:rPr>
        <w:t>The chart above provides a breakdown of 2013–14 growth funding by service area.</w:t>
      </w:r>
    </w:p>
    <w:p w14:paraId="327F0594" w14:textId="77777777" w:rsidR="001B34B2" w:rsidRDefault="001B34B2" w:rsidP="001B34B2">
      <w:pPr>
        <w:widowControl w:val="0"/>
        <w:autoSpaceDE w:val="0"/>
        <w:autoSpaceDN w:val="0"/>
        <w:adjustRightInd w:val="0"/>
        <w:ind w:right="-1826"/>
        <w:rPr>
          <w:rFonts w:ascii="Arial" w:hAnsi="Arial" w:cs="Arial"/>
        </w:rPr>
      </w:pPr>
    </w:p>
    <w:p w14:paraId="4B86FEFC" w14:textId="0D4A4258" w:rsidR="008E01BE" w:rsidRDefault="008E01BE" w:rsidP="001B34B2">
      <w:pPr>
        <w:widowControl w:val="0"/>
        <w:autoSpaceDE w:val="0"/>
        <w:autoSpaceDN w:val="0"/>
        <w:adjustRightInd w:val="0"/>
        <w:ind w:right="-1826"/>
        <w:rPr>
          <w:rFonts w:ascii="Arial" w:hAnsi="Arial" w:cs="Arial"/>
        </w:rPr>
      </w:pPr>
      <w:r>
        <w:rPr>
          <w:rFonts w:ascii="Arial" w:hAnsi="Arial" w:cs="Arial"/>
        </w:rPr>
        <w:t>Demand for supported accommodation options for people with di</w:t>
      </w:r>
      <w:r w:rsidR="00FF0228">
        <w:rPr>
          <w:rFonts w:ascii="Arial" w:hAnsi="Arial" w:cs="Arial"/>
        </w:rPr>
        <w:t xml:space="preserve">sability continues to be high. </w:t>
      </w:r>
      <w:r>
        <w:rPr>
          <w:rFonts w:ascii="Arial" w:hAnsi="Arial" w:cs="Arial"/>
        </w:rPr>
        <w:t>To support this demand and ensure these services increase, 38 per cent of growth funding has been allocated to this area.</w:t>
      </w:r>
    </w:p>
    <w:p w14:paraId="4E05CCEA" w14:textId="77777777" w:rsidR="001B34B2" w:rsidRDefault="001B34B2" w:rsidP="001B34B2">
      <w:pPr>
        <w:widowControl w:val="0"/>
        <w:autoSpaceDE w:val="0"/>
        <w:autoSpaceDN w:val="0"/>
        <w:adjustRightInd w:val="0"/>
        <w:ind w:right="-1826"/>
        <w:rPr>
          <w:rFonts w:ascii="Arial" w:hAnsi="Arial" w:cs="Arial"/>
        </w:rPr>
      </w:pPr>
    </w:p>
    <w:p w14:paraId="14F0E317" w14:textId="4E4F9E78" w:rsidR="008E01BE" w:rsidRDefault="00FF0228" w:rsidP="001B34B2">
      <w:pPr>
        <w:widowControl w:val="0"/>
        <w:autoSpaceDE w:val="0"/>
        <w:autoSpaceDN w:val="0"/>
        <w:adjustRightInd w:val="0"/>
        <w:ind w:right="-1826"/>
        <w:rPr>
          <w:rFonts w:ascii="Arial" w:hAnsi="Arial" w:cs="Arial"/>
        </w:rPr>
      </w:pPr>
      <w:r>
        <w:rPr>
          <w:rFonts w:ascii="Arial" w:hAnsi="Arial" w:cs="Arial"/>
        </w:rPr>
        <w:t>Community-focus</w:t>
      </w:r>
      <w:r w:rsidR="008E01BE">
        <w:rPr>
          <w:rFonts w:ascii="Arial" w:hAnsi="Arial" w:cs="Arial"/>
        </w:rPr>
        <w:t>ed services will receive an allocation of 24 per cent of growth funding. Services in this area set to benefit include support for people to live in the community, programs that provide alternatives to employment and supports for those people transitioning from school.</w:t>
      </w:r>
    </w:p>
    <w:p w14:paraId="4F931828" w14:textId="77777777" w:rsidR="001B34B2" w:rsidRDefault="001B34B2" w:rsidP="001B34B2">
      <w:pPr>
        <w:widowControl w:val="0"/>
        <w:autoSpaceDE w:val="0"/>
        <w:autoSpaceDN w:val="0"/>
        <w:adjustRightInd w:val="0"/>
        <w:ind w:right="-1826"/>
        <w:rPr>
          <w:rFonts w:ascii="Arial" w:hAnsi="Arial" w:cs="Arial"/>
        </w:rPr>
      </w:pPr>
    </w:p>
    <w:p w14:paraId="78449F27" w14:textId="4B3514BF" w:rsidR="008E01BE" w:rsidRDefault="008E01BE" w:rsidP="001B34B2">
      <w:pPr>
        <w:widowControl w:val="0"/>
        <w:autoSpaceDE w:val="0"/>
        <w:autoSpaceDN w:val="0"/>
        <w:adjustRightInd w:val="0"/>
        <w:ind w:right="-1826"/>
        <w:rPr>
          <w:rFonts w:ascii="Arial" w:hAnsi="Arial" w:cs="Arial"/>
        </w:rPr>
      </w:pPr>
      <w:r>
        <w:rPr>
          <w:rFonts w:ascii="Arial" w:hAnsi="Arial" w:cs="Arial"/>
        </w:rPr>
        <w:t>The My Way program and Local Area Coordination will have a strong focus in 2013–14 and funding will ensure that individualised support and services are available in all My Way locations. Twenty seven per cent of funding growth has been allocated to provide sufficient resources to manage this process and also to support growth in professional therapy services and the purchase of aids and equipment.</w:t>
      </w:r>
    </w:p>
    <w:p w14:paraId="591286A1" w14:textId="77777777" w:rsidR="001B34B2" w:rsidRDefault="001B34B2" w:rsidP="001B34B2">
      <w:pPr>
        <w:widowControl w:val="0"/>
        <w:autoSpaceDE w:val="0"/>
        <w:autoSpaceDN w:val="0"/>
        <w:adjustRightInd w:val="0"/>
        <w:ind w:right="-1826"/>
        <w:rPr>
          <w:rFonts w:ascii="Arial" w:hAnsi="Arial" w:cs="Arial"/>
        </w:rPr>
      </w:pPr>
    </w:p>
    <w:p w14:paraId="7B9A850A" w14:textId="77777777" w:rsidR="008E01BE" w:rsidRDefault="008E01BE" w:rsidP="001B34B2">
      <w:pPr>
        <w:widowControl w:val="0"/>
        <w:autoSpaceDE w:val="0"/>
        <w:autoSpaceDN w:val="0"/>
        <w:adjustRightInd w:val="0"/>
        <w:ind w:right="-1826"/>
        <w:rPr>
          <w:rFonts w:ascii="Arial" w:hAnsi="Arial" w:cs="Arial"/>
        </w:rPr>
      </w:pPr>
      <w:r>
        <w:rPr>
          <w:rFonts w:ascii="Arial" w:hAnsi="Arial" w:cs="Arial"/>
        </w:rPr>
        <w:t xml:space="preserve">The My Way NDIS pilot in the Lower South West is funded at the level of an NDIS pilot through allocation of a proportion of State growth funds. The Commonwealth funding for the My Way NDIS and DisabilityCare pilot will commence in 2014–15. </w:t>
      </w:r>
    </w:p>
    <w:p w14:paraId="36C3AEFF" w14:textId="77777777" w:rsidR="001B34B2" w:rsidRDefault="001B34B2" w:rsidP="001B34B2">
      <w:pPr>
        <w:widowControl w:val="0"/>
        <w:autoSpaceDE w:val="0"/>
        <w:autoSpaceDN w:val="0"/>
        <w:adjustRightInd w:val="0"/>
        <w:ind w:right="-1826"/>
        <w:rPr>
          <w:rFonts w:ascii="Arial" w:hAnsi="Arial" w:cs="Arial"/>
        </w:rPr>
      </w:pPr>
    </w:p>
    <w:p w14:paraId="71EEC3CB" w14:textId="77777777" w:rsidR="008E01BE" w:rsidRDefault="008E01BE" w:rsidP="001B34B2">
      <w:pPr>
        <w:widowControl w:val="0"/>
        <w:autoSpaceDE w:val="0"/>
        <w:autoSpaceDN w:val="0"/>
        <w:adjustRightInd w:val="0"/>
        <w:ind w:right="-1826"/>
        <w:rPr>
          <w:rFonts w:ascii="Arial" w:hAnsi="Arial" w:cs="Arial"/>
        </w:rPr>
      </w:pPr>
      <w:r>
        <w:rPr>
          <w:rFonts w:ascii="Arial" w:hAnsi="Arial" w:cs="Arial"/>
        </w:rPr>
        <w:t>A key focus of the Commission is ensuring that people with disability are able to remain with family, and that families are supported in this role. Direct care services, respite and the Family Living Initiative will receive 11 per cent of the growth funding in support of this.</w:t>
      </w:r>
    </w:p>
    <w:p w14:paraId="0C1D44AE" w14:textId="77777777" w:rsidR="001B34B2" w:rsidRDefault="001B34B2" w:rsidP="001B34B2">
      <w:pPr>
        <w:widowControl w:val="0"/>
        <w:autoSpaceDE w:val="0"/>
        <w:autoSpaceDN w:val="0"/>
        <w:adjustRightInd w:val="0"/>
        <w:ind w:right="-1826"/>
        <w:rPr>
          <w:rFonts w:ascii="Arial" w:eastAsia="Times New Roman" w:hAnsi="Arial" w:cs="Arial"/>
          <w:b/>
          <w:bCs/>
          <w:color w:val="000000"/>
        </w:rPr>
      </w:pPr>
    </w:p>
    <w:p w14:paraId="2091F12F" w14:textId="233A7542" w:rsidR="003A40E4" w:rsidRPr="003A40E4" w:rsidRDefault="00D104E2" w:rsidP="009971EC">
      <w:pPr>
        <w:widowControl w:val="0"/>
        <w:autoSpaceDE w:val="0"/>
        <w:autoSpaceDN w:val="0"/>
        <w:adjustRightInd w:val="0"/>
        <w:spacing w:after="114" w:line="320" w:lineRule="atLeast"/>
        <w:ind w:right="-1826"/>
        <w:rPr>
          <w:rFonts w:ascii="Arial" w:eastAsia="Times New Roman" w:hAnsi="Arial" w:cs="Arial"/>
          <w:b/>
          <w:bCs/>
          <w:color w:val="000000"/>
        </w:rPr>
      </w:pPr>
      <w:r w:rsidRPr="0051105F">
        <w:rPr>
          <w:rFonts w:ascii="Arial" w:eastAsia="Times New Roman" w:hAnsi="Arial" w:cs="Arial"/>
          <w:b/>
          <w:bCs/>
          <w:color w:val="000000"/>
        </w:rPr>
        <w:t>Allocation of growth funds</w:t>
      </w:r>
    </w:p>
    <w:p w14:paraId="6F39AA65" w14:textId="2F378193" w:rsidR="003A40E4" w:rsidRPr="003A40E4" w:rsidRDefault="003A40E4" w:rsidP="003A40E4">
      <w:pPr>
        <w:pStyle w:val="ListParagraph"/>
        <w:widowControl w:val="0"/>
        <w:numPr>
          <w:ilvl w:val="0"/>
          <w:numId w:val="1"/>
        </w:numPr>
        <w:autoSpaceDE w:val="0"/>
        <w:autoSpaceDN w:val="0"/>
        <w:adjustRightInd w:val="0"/>
        <w:spacing w:line="320" w:lineRule="atLeast"/>
        <w:ind w:right="-1826"/>
        <w:rPr>
          <w:rFonts w:ascii="Arial" w:eastAsia="Times New Roman" w:hAnsi="Arial" w:cs="Arial"/>
          <w:color w:val="000000"/>
        </w:rPr>
      </w:pPr>
      <w:r w:rsidRPr="003A40E4">
        <w:rPr>
          <w:rFonts w:ascii="Arial" w:eastAsia="Times New Roman" w:hAnsi="Arial" w:cs="Arial"/>
          <w:color w:val="000000"/>
        </w:rPr>
        <w:t>Accommodation Supports</w:t>
      </w:r>
      <w:r w:rsidR="00FF0228">
        <w:rPr>
          <w:rFonts w:ascii="Arial" w:eastAsia="Times New Roman" w:hAnsi="Arial" w:cs="Arial"/>
          <w:color w:val="000000"/>
        </w:rPr>
        <w:t xml:space="preserve"> </w:t>
      </w:r>
      <w:r w:rsidR="00FA449D" w:rsidRPr="00FA449D">
        <w:rPr>
          <w:rFonts w:ascii="Arial" w:hAnsi="Arial" w:cs="Arial"/>
        </w:rPr>
        <w:t>–</w:t>
      </w:r>
      <w:r w:rsidR="00FF0228">
        <w:rPr>
          <w:rFonts w:ascii="Arial" w:hAnsi="Arial" w:cs="Arial"/>
        </w:rPr>
        <w:t xml:space="preserve"> </w:t>
      </w:r>
      <w:r w:rsidRPr="003A40E4">
        <w:rPr>
          <w:rFonts w:ascii="Arial" w:eastAsia="Times New Roman" w:hAnsi="Arial" w:cs="Arial"/>
          <w:color w:val="000000"/>
        </w:rPr>
        <w:t>38</w:t>
      </w:r>
      <w:r>
        <w:rPr>
          <w:rFonts w:ascii="Arial" w:eastAsia="Times New Roman" w:hAnsi="Arial" w:cs="Arial"/>
          <w:color w:val="000000"/>
        </w:rPr>
        <w:t xml:space="preserve"> per cent</w:t>
      </w:r>
    </w:p>
    <w:p w14:paraId="6CB84301" w14:textId="1C7676C3" w:rsidR="003A40E4" w:rsidRPr="003A40E4" w:rsidRDefault="00FF0228" w:rsidP="003A40E4">
      <w:pPr>
        <w:pStyle w:val="ListParagraph"/>
        <w:widowControl w:val="0"/>
        <w:numPr>
          <w:ilvl w:val="0"/>
          <w:numId w:val="1"/>
        </w:numPr>
        <w:autoSpaceDE w:val="0"/>
        <w:autoSpaceDN w:val="0"/>
        <w:adjustRightInd w:val="0"/>
        <w:spacing w:line="320" w:lineRule="atLeast"/>
        <w:ind w:right="-1826"/>
        <w:rPr>
          <w:rFonts w:ascii="Arial" w:eastAsia="Times New Roman" w:hAnsi="Arial" w:cs="Arial"/>
          <w:color w:val="000000"/>
        </w:rPr>
      </w:pPr>
      <w:r>
        <w:rPr>
          <w:rFonts w:ascii="Arial" w:eastAsia="Times New Roman" w:hAnsi="Arial" w:cs="Arial"/>
          <w:color w:val="000000"/>
        </w:rPr>
        <w:t>Community-focus</w:t>
      </w:r>
      <w:r w:rsidR="003A40E4" w:rsidRPr="003A40E4">
        <w:rPr>
          <w:rFonts w:ascii="Arial" w:eastAsia="Times New Roman" w:hAnsi="Arial" w:cs="Arial"/>
          <w:color w:val="000000"/>
        </w:rPr>
        <w:t>ed supports</w:t>
      </w:r>
      <w:r>
        <w:rPr>
          <w:rFonts w:ascii="Arial" w:eastAsia="Times New Roman" w:hAnsi="Arial" w:cs="Arial"/>
          <w:color w:val="000000"/>
        </w:rPr>
        <w:t xml:space="preserve"> </w:t>
      </w:r>
      <w:r w:rsidR="00FA449D" w:rsidRPr="00FA449D">
        <w:rPr>
          <w:rFonts w:ascii="Arial" w:hAnsi="Arial" w:cs="Arial"/>
        </w:rPr>
        <w:t>–</w:t>
      </w:r>
      <w:r>
        <w:rPr>
          <w:rFonts w:ascii="Arial" w:hAnsi="Arial" w:cs="Arial"/>
        </w:rPr>
        <w:t xml:space="preserve"> </w:t>
      </w:r>
      <w:r w:rsidR="003A40E4" w:rsidRPr="003A40E4">
        <w:rPr>
          <w:rFonts w:ascii="Arial" w:eastAsia="Times New Roman" w:hAnsi="Arial" w:cs="Arial"/>
          <w:color w:val="000000"/>
        </w:rPr>
        <w:t>24</w:t>
      </w:r>
      <w:r w:rsidR="003A40E4">
        <w:rPr>
          <w:rFonts w:ascii="Arial" w:eastAsia="Times New Roman" w:hAnsi="Arial" w:cs="Arial"/>
          <w:color w:val="000000"/>
        </w:rPr>
        <w:t xml:space="preserve"> per cent</w:t>
      </w:r>
    </w:p>
    <w:p w14:paraId="61CDA3BF" w14:textId="66A53EAE" w:rsidR="003A40E4" w:rsidRPr="003A40E4" w:rsidRDefault="003A40E4" w:rsidP="003A40E4">
      <w:pPr>
        <w:pStyle w:val="ListParagraph"/>
        <w:widowControl w:val="0"/>
        <w:numPr>
          <w:ilvl w:val="0"/>
          <w:numId w:val="1"/>
        </w:numPr>
        <w:autoSpaceDE w:val="0"/>
        <w:autoSpaceDN w:val="0"/>
        <w:adjustRightInd w:val="0"/>
        <w:spacing w:line="320" w:lineRule="atLeast"/>
        <w:ind w:right="-1826"/>
        <w:rPr>
          <w:rFonts w:ascii="Arial" w:eastAsia="Times New Roman" w:hAnsi="Arial" w:cs="Arial"/>
          <w:color w:val="000000"/>
        </w:rPr>
      </w:pPr>
      <w:r w:rsidRPr="003A40E4">
        <w:rPr>
          <w:rFonts w:ascii="Arial" w:eastAsia="Times New Roman" w:hAnsi="Arial" w:cs="Arial"/>
          <w:color w:val="000000"/>
        </w:rPr>
        <w:t>Coordination and individual support</w:t>
      </w:r>
      <w:r w:rsidR="00FF0228">
        <w:rPr>
          <w:rFonts w:ascii="Arial" w:eastAsia="Times New Roman" w:hAnsi="Arial" w:cs="Arial"/>
          <w:color w:val="000000"/>
        </w:rPr>
        <w:t xml:space="preserve"> </w:t>
      </w:r>
      <w:r w:rsidR="00FA449D" w:rsidRPr="00FA449D">
        <w:rPr>
          <w:rFonts w:ascii="Arial" w:hAnsi="Arial" w:cs="Arial"/>
        </w:rPr>
        <w:t>–</w:t>
      </w:r>
      <w:r w:rsidR="00FF0228">
        <w:rPr>
          <w:rFonts w:ascii="Arial" w:hAnsi="Arial" w:cs="Arial"/>
        </w:rPr>
        <w:t xml:space="preserve"> </w:t>
      </w:r>
      <w:r w:rsidRPr="003A40E4">
        <w:rPr>
          <w:rFonts w:ascii="Arial" w:eastAsia="Times New Roman" w:hAnsi="Arial" w:cs="Arial"/>
          <w:color w:val="000000"/>
        </w:rPr>
        <w:t>27</w:t>
      </w:r>
      <w:r>
        <w:rPr>
          <w:rFonts w:ascii="Arial" w:eastAsia="Times New Roman" w:hAnsi="Arial" w:cs="Arial"/>
          <w:color w:val="000000"/>
        </w:rPr>
        <w:t xml:space="preserve"> per cent</w:t>
      </w:r>
    </w:p>
    <w:p w14:paraId="607C2E51" w14:textId="19E6E1DE" w:rsidR="003A40E4" w:rsidRPr="003A40E4" w:rsidRDefault="003A40E4" w:rsidP="001B34B2">
      <w:pPr>
        <w:pStyle w:val="ListParagraph"/>
        <w:widowControl w:val="0"/>
        <w:numPr>
          <w:ilvl w:val="0"/>
          <w:numId w:val="1"/>
        </w:numPr>
        <w:autoSpaceDE w:val="0"/>
        <w:autoSpaceDN w:val="0"/>
        <w:adjustRightInd w:val="0"/>
        <w:spacing w:line="320" w:lineRule="atLeast"/>
        <w:ind w:right="-1826"/>
        <w:rPr>
          <w:rFonts w:ascii="Arial" w:hAnsi="Arial" w:cs="Arial"/>
        </w:rPr>
      </w:pPr>
      <w:r w:rsidRPr="003A40E4">
        <w:rPr>
          <w:rFonts w:ascii="Arial" w:eastAsia="Times New Roman" w:hAnsi="Arial" w:cs="Arial"/>
          <w:color w:val="000000"/>
        </w:rPr>
        <w:t>Family Support</w:t>
      </w:r>
      <w:r w:rsidR="00FF0228">
        <w:rPr>
          <w:rFonts w:ascii="Arial" w:eastAsia="Times New Roman" w:hAnsi="Arial" w:cs="Arial"/>
          <w:color w:val="000000"/>
        </w:rPr>
        <w:t xml:space="preserve"> </w:t>
      </w:r>
      <w:r w:rsidR="00FA449D" w:rsidRPr="00FA449D">
        <w:rPr>
          <w:rFonts w:ascii="Arial" w:hAnsi="Arial" w:cs="Arial"/>
        </w:rPr>
        <w:t>–</w:t>
      </w:r>
      <w:r w:rsidR="00FF0228">
        <w:rPr>
          <w:rFonts w:ascii="Arial" w:hAnsi="Arial" w:cs="Arial"/>
        </w:rPr>
        <w:t xml:space="preserve"> </w:t>
      </w:r>
      <w:r w:rsidRPr="003A40E4">
        <w:rPr>
          <w:rFonts w:ascii="Arial" w:eastAsia="Times New Roman" w:hAnsi="Arial" w:cs="Arial"/>
          <w:color w:val="000000"/>
        </w:rPr>
        <w:t>11</w:t>
      </w:r>
      <w:r w:rsidR="00EC178C">
        <w:rPr>
          <w:rFonts w:ascii="Arial" w:eastAsia="Times New Roman" w:hAnsi="Arial" w:cs="Arial"/>
          <w:color w:val="000000"/>
        </w:rPr>
        <w:t xml:space="preserve"> </w:t>
      </w:r>
      <w:r>
        <w:rPr>
          <w:rFonts w:ascii="Arial" w:eastAsia="Times New Roman" w:hAnsi="Arial" w:cs="Arial"/>
          <w:color w:val="000000"/>
        </w:rPr>
        <w:t>per cent</w:t>
      </w:r>
    </w:p>
    <w:p w14:paraId="59E08B18" w14:textId="77777777" w:rsidR="001B34B2" w:rsidRDefault="001B34B2" w:rsidP="001B34B2">
      <w:pPr>
        <w:widowControl w:val="0"/>
        <w:autoSpaceDE w:val="0"/>
        <w:autoSpaceDN w:val="0"/>
        <w:adjustRightInd w:val="0"/>
        <w:spacing w:before="57"/>
        <w:ind w:right="-1826"/>
        <w:rPr>
          <w:rFonts w:ascii="Arial" w:hAnsi="Arial" w:cs="Arial"/>
          <w:b/>
          <w:bCs/>
          <w:color w:val="005579"/>
          <w:sz w:val="28"/>
          <w:szCs w:val="28"/>
        </w:rPr>
      </w:pPr>
    </w:p>
    <w:p w14:paraId="6FDA49FD" w14:textId="77777777" w:rsidR="008E01BE" w:rsidRDefault="008E01BE" w:rsidP="001B34B2">
      <w:pPr>
        <w:widowControl w:val="0"/>
        <w:autoSpaceDE w:val="0"/>
        <w:autoSpaceDN w:val="0"/>
        <w:adjustRightInd w:val="0"/>
        <w:spacing w:before="57"/>
        <w:ind w:right="-1826"/>
        <w:rPr>
          <w:rFonts w:ascii="Arial" w:hAnsi="Arial" w:cs="Arial"/>
          <w:b/>
          <w:bCs/>
          <w:color w:val="005579"/>
          <w:sz w:val="28"/>
          <w:szCs w:val="28"/>
        </w:rPr>
      </w:pPr>
      <w:r>
        <w:rPr>
          <w:rFonts w:ascii="Arial" w:hAnsi="Arial" w:cs="Arial"/>
          <w:b/>
          <w:bCs/>
          <w:color w:val="005579"/>
          <w:sz w:val="28"/>
          <w:szCs w:val="28"/>
        </w:rPr>
        <w:t>Cost of services</w:t>
      </w:r>
    </w:p>
    <w:p w14:paraId="1645074A" w14:textId="77777777" w:rsidR="001B34B2" w:rsidRDefault="001B34B2" w:rsidP="001B34B2">
      <w:pPr>
        <w:widowControl w:val="0"/>
        <w:autoSpaceDE w:val="0"/>
        <w:autoSpaceDN w:val="0"/>
        <w:adjustRightInd w:val="0"/>
        <w:ind w:right="-1826"/>
        <w:rPr>
          <w:rFonts w:ascii="Arial" w:hAnsi="Arial" w:cs="Arial"/>
        </w:rPr>
      </w:pPr>
    </w:p>
    <w:p w14:paraId="43FE50C1" w14:textId="77777777" w:rsidR="00FF0228" w:rsidRDefault="008E01BE" w:rsidP="001B34B2">
      <w:pPr>
        <w:widowControl w:val="0"/>
        <w:autoSpaceDE w:val="0"/>
        <w:autoSpaceDN w:val="0"/>
        <w:adjustRightInd w:val="0"/>
        <w:ind w:right="-1826"/>
        <w:rPr>
          <w:rFonts w:ascii="Arial" w:hAnsi="Arial" w:cs="Arial"/>
        </w:rPr>
      </w:pPr>
      <w:r>
        <w:rPr>
          <w:rFonts w:ascii="Arial" w:hAnsi="Arial" w:cs="Arial"/>
        </w:rPr>
        <w:t xml:space="preserve">The Disability Services Commission purchases an increasing proportion of specialist disability supports and services from Western Australia’s strong non-government service sector. The chart below shows the rapid shift from Government provision of services to purchasing those services from the sector. Nearly 73 per cent of the Commission’s budget will flow directly to the </w:t>
      </w:r>
    </w:p>
    <w:p w14:paraId="245569DF" w14:textId="0E6CC698" w:rsidR="008E01BE" w:rsidRDefault="008E01BE" w:rsidP="001B34B2">
      <w:pPr>
        <w:widowControl w:val="0"/>
        <w:autoSpaceDE w:val="0"/>
        <w:autoSpaceDN w:val="0"/>
        <w:adjustRightInd w:val="0"/>
        <w:ind w:right="-1826"/>
        <w:rPr>
          <w:rFonts w:ascii="Arial" w:hAnsi="Arial" w:cs="Arial"/>
        </w:rPr>
      </w:pPr>
      <w:proofErr w:type="gramStart"/>
      <w:r>
        <w:rPr>
          <w:rFonts w:ascii="Arial" w:hAnsi="Arial" w:cs="Arial"/>
        </w:rPr>
        <w:t>non-government</w:t>
      </w:r>
      <w:proofErr w:type="gramEnd"/>
      <w:r>
        <w:rPr>
          <w:rFonts w:ascii="Arial" w:hAnsi="Arial" w:cs="Arial"/>
        </w:rPr>
        <w:t xml:space="preserve"> sector in 2013–14.</w:t>
      </w:r>
    </w:p>
    <w:p w14:paraId="17610C5B" w14:textId="77777777" w:rsidR="008255C2" w:rsidRDefault="008255C2" w:rsidP="001B34B2">
      <w:pPr>
        <w:widowControl w:val="0"/>
        <w:autoSpaceDE w:val="0"/>
        <w:autoSpaceDN w:val="0"/>
        <w:adjustRightInd w:val="0"/>
        <w:ind w:right="-1826"/>
        <w:rPr>
          <w:rFonts w:ascii="Arial" w:eastAsia="Times New Roman" w:hAnsi="Arial" w:cs="Arial"/>
          <w:b/>
          <w:bCs/>
        </w:rPr>
      </w:pPr>
    </w:p>
    <w:p w14:paraId="7BCB4655" w14:textId="5956CF15" w:rsidR="006C53C2" w:rsidRDefault="00FF0228" w:rsidP="001B34B2">
      <w:pPr>
        <w:widowControl w:val="0"/>
        <w:autoSpaceDE w:val="0"/>
        <w:autoSpaceDN w:val="0"/>
        <w:adjustRightInd w:val="0"/>
        <w:ind w:right="-1826"/>
        <w:rPr>
          <w:rFonts w:ascii="Arial" w:eastAsia="Times New Roman" w:hAnsi="Arial" w:cs="Arial"/>
          <w:b/>
          <w:bCs/>
        </w:rPr>
      </w:pPr>
      <w:r>
        <w:rPr>
          <w:rFonts w:ascii="Arial" w:eastAsia="Times New Roman" w:hAnsi="Arial" w:cs="Arial"/>
          <w:b/>
          <w:bCs/>
        </w:rPr>
        <w:t>Total cost of s</w:t>
      </w:r>
      <w:r w:rsidR="00BE6185">
        <w:rPr>
          <w:rFonts w:ascii="Arial" w:eastAsia="Times New Roman" w:hAnsi="Arial" w:cs="Arial"/>
          <w:b/>
          <w:bCs/>
        </w:rPr>
        <w:t>ervices (2004</w:t>
      </w:r>
      <w:r w:rsidR="00BE6185">
        <w:rPr>
          <w:b/>
          <w:sz w:val="28"/>
          <w:szCs w:val="28"/>
        </w:rPr>
        <w:t>–</w:t>
      </w:r>
      <w:r w:rsidR="00BE6185">
        <w:rPr>
          <w:rFonts w:ascii="Arial" w:eastAsia="Times New Roman" w:hAnsi="Arial" w:cs="Arial"/>
          <w:b/>
          <w:bCs/>
        </w:rPr>
        <w:t>05 to 2013</w:t>
      </w:r>
      <w:r w:rsidR="00BE6185">
        <w:rPr>
          <w:b/>
          <w:sz w:val="28"/>
          <w:szCs w:val="28"/>
        </w:rPr>
        <w:t>–</w:t>
      </w:r>
      <w:r w:rsidR="00D6256C" w:rsidRPr="006C53C2">
        <w:rPr>
          <w:rFonts w:ascii="Arial" w:eastAsia="Times New Roman" w:hAnsi="Arial" w:cs="Arial"/>
          <w:b/>
          <w:bCs/>
        </w:rPr>
        <w:t>14)</w:t>
      </w:r>
    </w:p>
    <w:p w14:paraId="36D75587" w14:textId="77777777" w:rsidR="001B34B2" w:rsidRDefault="001B34B2" w:rsidP="001B34B2">
      <w:pPr>
        <w:widowControl w:val="0"/>
        <w:autoSpaceDE w:val="0"/>
        <w:autoSpaceDN w:val="0"/>
        <w:adjustRightInd w:val="0"/>
        <w:ind w:right="-1826"/>
        <w:rPr>
          <w:rFonts w:ascii="Arial" w:hAnsi="Arial" w:cs="Arial"/>
        </w:rPr>
      </w:pPr>
    </w:p>
    <w:tbl>
      <w:tblPr>
        <w:tblW w:w="9654"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60"/>
        <w:gridCol w:w="2120"/>
        <w:gridCol w:w="1840"/>
        <w:gridCol w:w="2034"/>
      </w:tblGrid>
      <w:tr w:rsidR="006C53C2" w:rsidRPr="006C53C2" w14:paraId="7C2FDAC6" w14:textId="77777777" w:rsidTr="00220A11">
        <w:trPr>
          <w:trHeight w:val="900"/>
        </w:trPr>
        <w:tc>
          <w:tcPr>
            <w:tcW w:w="3660" w:type="dxa"/>
            <w:shd w:val="clear" w:color="auto" w:fill="auto"/>
            <w:noWrap/>
            <w:vAlign w:val="bottom"/>
            <w:hideMark/>
          </w:tcPr>
          <w:p w14:paraId="193D2A2D" w14:textId="77777777" w:rsidR="006C53C2" w:rsidRPr="006C53C2" w:rsidRDefault="006C53C2" w:rsidP="006C53C2">
            <w:pPr>
              <w:rPr>
                <w:rFonts w:ascii="Arial" w:eastAsia="Times New Roman" w:hAnsi="Arial" w:cs="Arial"/>
                <w:b/>
                <w:bCs/>
              </w:rPr>
            </w:pPr>
          </w:p>
        </w:tc>
        <w:tc>
          <w:tcPr>
            <w:tcW w:w="2120" w:type="dxa"/>
            <w:shd w:val="clear" w:color="auto" w:fill="auto"/>
            <w:vAlign w:val="bottom"/>
            <w:hideMark/>
          </w:tcPr>
          <w:p w14:paraId="5EF8562E" w14:textId="37E66423" w:rsidR="006C53C2" w:rsidRDefault="00FF0228" w:rsidP="006C53C2">
            <w:pPr>
              <w:rPr>
                <w:rFonts w:ascii="Arial" w:eastAsia="Times New Roman" w:hAnsi="Arial" w:cs="Arial"/>
                <w:b/>
                <w:bCs/>
              </w:rPr>
            </w:pPr>
            <w:r>
              <w:rPr>
                <w:rFonts w:ascii="Arial" w:eastAsia="Times New Roman" w:hAnsi="Arial" w:cs="Arial"/>
                <w:b/>
                <w:bCs/>
              </w:rPr>
              <w:t>Commission operational b</w:t>
            </w:r>
            <w:r w:rsidR="006C53C2" w:rsidRPr="006C53C2">
              <w:rPr>
                <w:rFonts w:ascii="Arial" w:eastAsia="Times New Roman" w:hAnsi="Arial" w:cs="Arial"/>
                <w:b/>
                <w:bCs/>
              </w:rPr>
              <w:t>udget</w:t>
            </w:r>
          </w:p>
          <w:p w14:paraId="5A87B552" w14:textId="780F0457" w:rsidR="00220A11" w:rsidRPr="006C53C2" w:rsidRDefault="00220A11" w:rsidP="006C53C2">
            <w:pPr>
              <w:rPr>
                <w:rFonts w:ascii="Arial" w:eastAsia="Times New Roman" w:hAnsi="Arial" w:cs="Arial"/>
                <w:b/>
                <w:bCs/>
              </w:rPr>
            </w:pPr>
            <w:r>
              <w:rPr>
                <w:rFonts w:ascii="Arial" w:eastAsia="Times New Roman" w:hAnsi="Arial" w:cs="Arial"/>
                <w:b/>
                <w:bCs/>
              </w:rPr>
              <w:t>($million)</w:t>
            </w:r>
          </w:p>
        </w:tc>
        <w:tc>
          <w:tcPr>
            <w:tcW w:w="1840" w:type="dxa"/>
            <w:shd w:val="clear" w:color="auto" w:fill="auto"/>
            <w:vAlign w:val="bottom"/>
            <w:hideMark/>
          </w:tcPr>
          <w:p w14:paraId="7F03A741" w14:textId="54AE7654" w:rsidR="006C53C2" w:rsidRDefault="00FF0228" w:rsidP="006C53C2">
            <w:pPr>
              <w:rPr>
                <w:rFonts w:ascii="Arial" w:eastAsia="Times New Roman" w:hAnsi="Arial" w:cs="Arial"/>
                <w:b/>
                <w:bCs/>
              </w:rPr>
            </w:pPr>
            <w:r>
              <w:rPr>
                <w:rFonts w:ascii="Arial" w:eastAsia="Times New Roman" w:hAnsi="Arial" w:cs="Arial"/>
                <w:b/>
                <w:bCs/>
              </w:rPr>
              <w:t>External s</w:t>
            </w:r>
            <w:r w:rsidR="006C53C2" w:rsidRPr="006C53C2">
              <w:rPr>
                <w:rFonts w:ascii="Arial" w:eastAsia="Times New Roman" w:hAnsi="Arial" w:cs="Arial"/>
                <w:b/>
                <w:bCs/>
              </w:rPr>
              <w:t xml:space="preserve">ervice </w:t>
            </w:r>
            <w:r>
              <w:rPr>
                <w:rFonts w:ascii="Arial" w:eastAsia="Times New Roman" w:hAnsi="Arial" w:cs="Arial"/>
                <w:b/>
                <w:bCs/>
              </w:rPr>
              <w:t>p</w:t>
            </w:r>
            <w:r w:rsidR="006C53C2" w:rsidRPr="006C53C2">
              <w:rPr>
                <w:rFonts w:ascii="Arial" w:eastAsia="Times New Roman" w:hAnsi="Arial" w:cs="Arial"/>
                <w:b/>
                <w:bCs/>
              </w:rPr>
              <w:t>roviders</w:t>
            </w:r>
          </w:p>
          <w:p w14:paraId="2343F4BD" w14:textId="4A346AD7" w:rsidR="00220A11" w:rsidRPr="006C53C2" w:rsidRDefault="00220A11" w:rsidP="006C53C2">
            <w:pPr>
              <w:rPr>
                <w:rFonts w:ascii="Arial" w:eastAsia="Times New Roman" w:hAnsi="Arial" w:cs="Arial"/>
                <w:b/>
                <w:bCs/>
              </w:rPr>
            </w:pPr>
            <w:r>
              <w:rPr>
                <w:rFonts w:ascii="Arial" w:eastAsia="Times New Roman" w:hAnsi="Arial" w:cs="Arial"/>
                <w:b/>
                <w:bCs/>
              </w:rPr>
              <w:t>($million)</w:t>
            </w:r>
          </w:p>
        </w:tc>
        <w:tc>
          <w:tcPr>
            <w:tcW w:w="2034" w:type="dxa"/>
            <w:shd w:val="clear" w:color="auto" w:fill="auto"/>
            <w:vAlign w:val="bottom"/>
            <w:hideMark/>
          </w:tcPr>
          <w:p w14:paraId="57F38841" w14:textId="0BF337B5" w:rsidR="006C53C2" w:rsidRDefault="006C53C2" w:rsidP="00DD735E">
            <w:pPr>
              <w:rPr>
                <w:rFonts w:ascii="Arial" w:eastAsia="Times New Roman" w:hAnsi="Arial" w:cs="Arial"/>
                <w:b/>
                <w:bCs/>
              </w:rPr>
            </w:pPr>
            <w:r w:rsidRPr="006C53C2">
              <w:rPr>
                <w:rFonts w:ascii="Arial" w:eastAsia="Times New Roman" w:hAnsi="Arial" w:cs="Arial"/>
                <w:b/>
                <w:bCs/>
              </w:rPr>
              <w:t>T</w:t>
            </w:r>
            <w:r w:rsidR="00DD735E">
              <w:rPr>
                <w:rFonts w:ascii="Arial" w:eastAsia="Times New Roman" w:hAnsi="Arial" w:cs="Arial"/>
                <w:b/>
                <w:bCs/>
              </w:rPr>
              <w:t>otal</w:t>
            </w:r>
            <w:r w:rsidR="00220A11">
              <w:rPr>
                <w:rFonts w:ascii="Arial" w:eastAsia="Times New Roman" w:hAnsi="Arial" w:cs="Arial"/>
                <w:b/>
                <w:bCs/>
              </w:rPr>
              <w:t xml:space="preserve"> ($million)</w:t>
            </w:r>
          </w:p>
          <w:p w14:paraId="34BF10C3" w14:textId="77777777" w:rsidR="00220A11" w:rsidRDefault="00220A11" w:rsidP="00DD735E">
            <w:pPr>
              <w:rPr>
                <w:rFonts w:ascii="Arial" w:eastAsia="Times New Roman" w:hAnsi="Arial" w:cs="Arial"/>
                <w:b/>
                <w:bCs/>
              </w:rPr>
            </w:pPr>
          </w:p>
          <w:p w14:paraId="20F2D8F1" w14:textId="77777777" w:rsidR="00220A11" w:rsidRDefault="00220A11" w:rsidP="00DD735E">
            <w:pPr>
              <w:rPr>
                <w:rFonts w:ascii="Arial" w:eastAsia="Times New Roman" w:hAnsi="Arial" w:cs="Arial"/>
                <w:b/>
                <w:bCs/>
              </w:rPr>
            </w:pPr>
          </w:p>
          <w:p w14:paraId="0110CA5C" w14:textId="4D4B6801" w:rsidR="00220A11" w:rsidRPr="006C53C2" w:rsidRDefault="00220A11" w:rsidP="00DD735E">
            <w:pPr>
              <w:rPr>
                <w:rFonts w:ascii="Arial" w:eastAsia="Times New Roman" w:hAnsi="Arial" w:cs="Arial"/>
                <w:b/>
                <w:bCs/>
              </w:rPr>
            </w:pPr>
          </w:p>
        </w:tc>
      </w:tr>
      <w:tr w:rsidR="006C53C2" w:rsidRPr="006C53C2" w14:paraId="54EE6795" w14:textId="77777777" w:rsidTr="00220A11">
        <w:trPr>
          <w:trHeight w:val="300"/>
        </w:trPr>
        <w:tc>
          <w:tcPr>
            <w:tcW w:w="3660" w:type="dxa"/>
            <w:shd w:val="clear" w:color="auto" w:fill="auto"/>
            <w:vAlign w:val="bottom"/>
            <w:hideMark/>
          </w:tcPr>
          <w:p w14:paraId="52E8D657" w14:textId="7FAF4BE8" w:rsidR="006C53C2" w:rsidRPr="006C53C2" w:rsidRDefault="00D6256C" w:rsidP="006C53C2">
            <w:pPr>
              <w:rPr>
                <w:rFonts w:ascii="Arial" w:eastAsia="Times New Roman" w:hAnsi="Arial" w:cs="Arial"/>
              </w:rPr>
            </w:pPr>
            <w:r>
              <w:rPr>
                <w:rFonts w:ascii="Arial" w:eastAsia="Times New Roman" w:hAnsi="Arial" w:cs="Arial"/>
              </w:rPr>
              <w:t>2006</w:t>
            </w:r>
            <w:r w:rsidR="0095083B">
              <w:rPr>
                <w:rFonts w:ascii="Arial" w:hAnsi="Arial" w:cs="Arial"/>
              </w:rPr>
              <w:t>–</w:t>
            </w:r>
            <w:r>
              <w:rPr>
                <w:rFonts w:ascii="Arial" w:eastAsia="Times New Roman" w:hAnsi="Arial" w:cs="Arial"/>
              </w:rPr>
              <w:t>20</w:t>
            </w:r>
            <w:r w:rsidR="006C53C2" w:rsidRPr="006C53C2">
              <w:rPr>
                <w:rFonts w:ascii="Arial" w:eastAsia="Times New Roman" w:hAnsi="Arial" w:cs="Arial"/>
              </w:rPr>
              <w:t>07</w:t>
            </w:r>
          </w:p>
        </w:tc>
        <w:tc>
          <w:tcPr>
            <w:tcW w:w="2120" w:type="dxa"/>
            <w:shd w:val="clear" w:color="auto" w:fill="auto"/>
            <w:noWrap/>
            <w:vAlign w:val="bottom"/>
            <w:hideMark/>
          </w:tcPr>
          <w:p w14:paraId="4973A916" w14:textId="4AF19BB5" w:rsidR="006C53C2" w:rsidRPr="006C53C2" w:rsidRDefault="006C53C2" w:rsidP="00DD735E">
            <w:pPr>
              <w:rPr>
                <w:rFonts w:ascii="Arial" w:eastAsia="Times New Roman" w:hAnsi="Arial" w:cs="Arial"/>
              </w:rPr>
            </w:pPr>
            <w:r w:rsidRPr="006C53C2">
              <w:rPr>
                <w:rFonts w:ascii="Arial" w:eastAsia="Times New Roman" w:hAnsi="Arial" w:cs="Arial"/>
              </w:rPr>
              <w:t xml:space="preserve">$152.0 </w:t>
            </w:r>
          </w:p>
        </w:tc>
        <w:tc>
          <w:tcPr>
            <w:tcW w:w="1840" w:type="dxa"/>
            <w:shd w:val="clear" w:color="auto" w:fill="auto"/>
            <w:noWrap/>
            <w:vAlign w:val="bottom"/>
            <w:hideMark/>
          </w:tcPr>
          <w:p w14:paraId="752A96E4" w14:textId="51EEB079" w:rsidR="006C53C2" w:rsidRPr="006C53C2" w:rsidRDefault="006C53C2" w:rsidP="00DD735E">
            <w:pPr>
              <w:rPr>
                <w:rFonts w:ascii="Arial" w:eastAsia="Times New Roman" w:hAnsi="Arial" w:cs="Arial"/>
              </w:rPr>
            </w:pPr>
            <w:r w:rsidRPr="006C53C2">
              <w:rPr>
                <w:rFonts w:ascii="Arial" w:eastAsia="Times New Roman" w:hAnsi="Arial" w:cs="Arial"/>
              </w:rPr>
              <w:t xml:space="preserve">$182.4 </w:t>
            </w:r>
          </w:p>
        </w:tc>
        <w:tc>
          <w:tcPr>
            <w:tcW w:w="2034" w:type="dxa"/>
            <w:shd w:val="clear" w:color="auto" w:fill="auto"/>
            <w:noWrap/>
            <w:vAlign w:val="bottom"/>
            <w:hideMark/>
          </w:tcPr>
          <w:p w14:paraId="7DEBAA3A" w14:textId="62559B77" w:rsidR="006C53C2" w:rsidRPr="006C53C2" w:rsidRDefault="006C53C2" w:rsidP="00DD735E">
            <w:pPr>
              <w:rPr>
                <w:rFonts w:ascii="Arial" w:eastAsia="Times New Roman" w:hAnsi="Arial" w:cs="Arial"/>
              </w:rPr>
            </w:pPr>
            <w:r w:rsidRPr="006C53C2">
              <w:rPr>
                <w:rFonts w:ascii="Arial" w:eastAsia="Times New Roman" w:hAnsi="Arial" w:cs="Arial"/>
              </w:rPr>
              <w:t xml:space="preserve">$334.4 </w:t>
            </w:r>
          </w:p>
        </w:tc>
      </w:tr>
      <w:tr w:rsidR="006C53C2" w:rsidRPr="006C53C2" w14:paraId="22A826C7" w14:textId="77777777" w:rsidTr="00220A11">
        <w:trPr>
          <w:trHeight w:val="300"/>
        </w:trPr>
        <w:tc>
          <w:tcPr>
            <w:tcW w:w="3660" w:type="dxa"/>
            <w:shd w:val="clear" w:color="auto" w:fill="auto"/>
            <w:noWrap/>
            <w:vAlign w:val="bottom"/>
            <w:hideMark/>
          </w:tcPr>
          <w:p w14:paraId="5908AA5A" w14:textId="30C6927D" w:rsidR="006C53C2" w:rsidRPr="006C53C2" w:rsidRDefault="00D6256C" w:rsidP="006C53C2">
            <w:pPr>
              <w:rPr>
                <w:rFonts w:ascii="Arial" w:eastAsia="Times New Roman" w:hAnsi="Arial" w:cs="Arial"/>
              </w:rPr>
            </w:pPr>
            <w:r>
              <w:rPr>
                <w:rFonts w:ascii="Arial" w:eastAsia="Times New Roman" w:hAnsi="Arial" w:cs="Arial"/>
              </w:rPr>
              <w:t>2007</w:t>
            </w:r>
            <w:r w:rsidR="0095083B">
              <w:rPr>
                <w:rFonts w:ascii="Arial" w:hAnsi="Arial" w:cs="Arial"/>
              </w:rPr>
              <w:t>–</w:t>
            </w:r>
            <w:r>
              <w:rPr>
                <w:rFonts w:ascii="Arial" w:eastAsia="Times New Roman" w:hAnsi="Arial" w:cs="Arial"/>
              </w:rPr>
              <w:t>20</w:t>
            </w:r>
            <w:r w:rsidR="006C53C2" w:rsidRPr="006C53C2">
              <w:rPr>
                <w:rFonts w:ascii="Arial" w:eastAsia="Times New Roman" w:hAnsi="Arial" w:cs="Arial"/>
              </w:rPr>
              <w:t>08</w:t>
            </w:r>
          </w:p>
        </w:tc>
        <w:tc>
          <w:tcPr>
            <w:tcW w:w="2120" w:type="dxa"/>
            <w:shd w:val="clear" w:color="auto" w:fill="auto"/>
            <w:noWrap/>
            <w:vAlign w:val="bottom"/>
            <w:hideMark/>
          </w:tcPr>
          <w:p w14:paraId="3C7C15C3" w14:textId="03C45F5A" w:rsidR="006C53C2" w:rsidRPr="006C53C2" w:rsidRDefault="006C53C2" w:rsidP="00DD735E">
            <w:pPr>
              <w:rPr>
                <w:rFonts w:ascii="Arial" w:eastAsia="Times New Roman" w:hAnsi="Arial" w:cs="Arial"/>
              </w:rPr>
            </w:pPr>
            <w:r w:rsidRPr="006C53C2">
              <w:rPr>
                <w:rFonts w:ascii="Arial" w:eastAsia="Times New Roman" w:hAnsi="Arial" w:cs="Arial"/>
              </w:rPr>
              <w:t xml:space="preserve">$149.1 </w:t>
            </w:r>
          </w:p>
        </w:tc>
        <w:tc>
          <w:tcPr>
            <w:tcW w:w="1840" w:type="dxa"/>
            <w:shd w:val="clear" w:color="auto" w:fill="auto"/>
            <w:noWrap/>
            <w:vAlign w:val="bottom"/>
            <w:hideMark/>
          </w:tcPr>
          <w:p w14:paraId="7F5BB639" w14:textId="4CF4EF64" w:rsidR="006C53C2" w:rsidRPr="006C53C2" w:rsidRDefault="006C53C2" w:rsidP="00DD735E">
            <w:pPr>
              <w:rPr>
                <w:rFonts w:ascii="Arial" w:eastAsia="Times New Roman" w:hAnsi="Arial" w:cs="Arial"/>
              </w:rPr>
            </w:pPr>
            <w:r w:rsidRPr="006C53C2">
              <w:rPr>
                <w:rFonts w:ascii="Arial" w:eastAsia="Times New Roman" w:hAnsi="Arial" w:cs="Arial"/>
              </w:rPr>
              <w:t xml:space="preserve">$216.9 </w:t>
            </w:r>
          </w:p>
        </w:tc>
        <w:tc>
          <w:tcPr>
            <w:tcW w:w="2034" w:type="dxa"/>
            <w:shd w:val="clear" w:color="auto" w:fill="auto"/>
            <w:noWrap/>
            <w:vAlign w:val="bottom"/>
            <w:hideMark/>
          </w:tcPr>
          <w:p w14:paraId="7C6AA77B" w14:textId="093A0C03" w:rsidR="006C53C2" w:rsidRPr="006C53C2" w:rsidRDefault="006C53C2" w:rsidP="00DD735E">
            <w:pPr>
              <w:rPr>
                <w:rFonts w:ascii="Arial" w:eastAsia="Times New Roman" w:hAnsi="Arial" w:cs="Arial"/>
              </w:rPr>
            </w:pPr>
            <w:r w:rsidRPr="006C53C2">
              <w:rPr>
                <w:rFonts w:ascii="Arial" w:eastAsia="Times New Roman" w:hAnsi="Arial" w:cs="Arial"/>
              </w:rPr>
              <w:t xml:space="preserve">$366.0 </w:t>
            </w:r>
          </w:p>
        </w:tc>
      </w:tr>
      <w:tr w:rsidR="006C53C2" w:rsidRPr="006C53C2" w14:paraId="4CA14B61" w14:textId="77777777" w:rsidTr="00220A11">
        <w:trPr>
          <w:trHeight w:val="300"/>
        </w:trPr>
        <w:tc>
          <w:tcPr>
            <w:tcW w:w="3660" w:type="dxa"/>
            <w:shd w:val="clear" w:color="auto" w:fill="auto"/>
            <w:noWrap/>
            <w:vAlign w:val="bottom"/>
            <w:hideMark/>
          </w:tcPr>
          <w:p w14:paraId="27E454F8" w14:textId="75AE8D78" w:rsidR="006C53C2" w:rsidRPr="006C53C2" w:rsidRDefault="00D6256C" w:rsidP="006C53C2">
            <w:pPr>
              <w:rPr>
                <w:rFonts w:ascii="Arial" w:eastAsia="Times New Roman" w:hAnsi="Arial" w:cs="Arial"/>
              </w:rPr>
            </w:pPr>
            <w:r>
              <w:rPr>
                <w:rFonts w:ascii="Arial" w:eastAsia="Times New Roman" w:hAnsi="Arial" w:cs="Arial"/>
              </w:rPr>
              <w:t>2008</w:t>
            </w:r>
            <w:r w:rsidR="0095083B">
              <w:rPr>
                <w:rFonts w:ascii="Arial" w:hAnsi="Arial" w:cs="Arial"/>
              </w:rPr>
              <w:t>–</w:t>
            </w:r>
            <w:r>
              <w:rPr>
                <w:rFonts w:ascii="Arial" w:eastAsia="Times New Roman" w:hAnsi="Arial" w:cs="Arial"/>
              </w:rPr>
              <w:t>20</w:t>
            </w:r>
            <w:r w:rsidR="006C53C2" w:rsidRPr="006C53C2">
              <w:rPr>
                <w:rFonts w:ascii="Arial" w:eastAsia="Times New Roman" w:hAnsi="Arial" w:cs="Arial"/>
              </w:rPr>
              <w:t>09</w:t>
            </w:r>
          </w:p>
        </w:tc>
        <w:tc>
          <w:tcPr>
            <w:tcW w:w="2120" w:type="dxa"/>
            <w:shd w:val="clear" w:color="auto" w:fill="auto"/>
            <w:noWrap/>
            <w:vAlign w:val="bottom"/>
            <w:hideMark/>
          </w:tcPr>
          <w:p w14:paraId="7D9C7C2A" w14:textId="1F8AA34A" w:rsidR="006C53C2" w:rsidRPr="006C53C2" w:rsidRDefault="006C53C2" w:rsidP="00DD735E">
            <w:pPr>
              <w:rPr>
                <w:rFonts w:ascii="Arial" w:eastAsia="Times New Roman" w:hAnsi="Arial" w:cs="Arial"/>
              </w:rPr>
            </w:pPr>
            <w:r w:rsidRPr="006C53C2">
              <w:rPr>
                <w:rFonts w:ascii="Arial" w:eastAsia="Times New Roman" w:hAnsi="Arial" w:cs="Arial"/>
              </w:rPr>
              <w:t xml:space="preserve">$176.3 </w:t>
            </w:r>
          </w:p>
        </w:tc>
        <w:tc>
          <w:tcPr>
            <w:tcW w:w="1840" w:type="dxa"/>
            <w:shd w:val="clear" w:color="auto" w:fill="auto"/>
            <w:noWrap/>
            <w:vAlign w:val="bottom"/>
            <w:hideMark/>
          </w:tcPr>
          <w:p w14:paraId="775461CC" w14:textId="6B90BC92" w:rsidR="006C53C2" w:rsidRPr="006C53C2" w:rsidRDefault="006C53C2" w:rsidP="00DD735E">
            <w:pPr>
              <w:rPr>
                <w:rFonts w:ascii="Arial" w:eastAsia="Times New Roman" w:hAnsi="Arial" w:cs="Arial"/>
              </w:rPr>
            </w:pPr>
            <w:r w:rsidRPr="006C53C2">
              <w:rPr>
                <w:rFonts w:ascii="Arial" w:eastAsia="Times New Roman" w:hAnsi="Arial" w:cs="Arial"/>
              </w:rPr>
              <w:t xml:space="preserve">$257.7 </w:t>
            </w:r>
          </w:p>
        </w:tc>
        <w:tc>
          <w:tcPr>
            <w:tcW w:w="2034" w:type="dxa"/>
            <w:shd w:val="clear" w:color="auto" w:fill="auto"/>
            <w:noWrap/>
            <w:vAlign w:val="bottom"/>
            <w:hideMark/>
          </w:tcPr>
          <w:p w14:paraId="7B38C9C4" w14:textId="12EB7229" w:rsidR="006C53C2" w:rsidRPr="006C53C2" w:rsidRDefault="006C53C2" w:rsidP="00DD735E">
            <w:pPr>
              <w:rPr>
                <w:rFonts w:ascii="Arial" w:eastAsia="Times New Roman" w:hAnsi="Arial" w:cs="Arial"/>
              </w:rPr>
            </w:pPr>
            <w:r w:rsidRPr="006C53C2">
              <w:rPr>
                <w:rFonts w:ascii="Arial" w:eastAsia="Times New Roman" w:hAnsi="Arial" w:cs="Arial"/>
              </w:rPr>
              <w:t xml:space="preserve">$434.0 </w:t>
            </w:r>
          </w:p>
        </w:tc>
      </w:tr>
      <w:tr w:rsidR="006C53C2" w:rsidRPr="008255C2" w14:paraId="0C67D5E8" w14:textId="77777777" w:rsidTr="008255C2">
        <w:trPr>
          <w:trHeight w:val="346"/>
        </w:trPr>
        <w:tc>
          <w:tcPr>
            <w:tcW w:w="3660" w:type="dxa"/>
            <w:shd w:val="clear" w:color="auto" w:fill="auto"/>
            <w:vAlign w:val="bottom"/>
            <w:hideMark/>
          </w:tcPr>
          <w:p w14:paraId="62D5A6B9" w14:textId="065E41A7" w:rsidR="006C53C2" w:rsidRPr="006C53C2" w:rsidRDefault="00D6256C" w:rsidP="006C53C2">
            <w:pPr>
              <w:rPr>
                <w:rFonts w:ascii="Arial" w:eastAsia="Times New Roman" w:hAnsi="Arial" w:cs="Arial"/>
              </w:rPr>
            </w:pPr>
            <w:r>
              <w:rPr>
                <w:rFonts w:ascii="Arial" w:eastAsia="Times New Roman" w:hAnsi="Arial" w:cs="Arial"/>
              </w:rPr>
              <w:t>2009</w:t>
            </w:r>
            <w:r w:rsidR="0095083B" w:rsidRPr="008255C2">
              <w:rPr>
                <w:rFonts w:ascii="Arial" w:eastAsia="Times New Roman" w:hAnsi="Arial" w:cs="Arial"/>
              </w:rPr>
              <w:t>–</w:t>
            </w:r>
            <w:r>
              <w:rPr>
                <w:rFonts w:ascii="Arial" w:eastAsia="Times New Roman" w:hAnsi="Arial" w:cs="Arial"/>
              </w:rPr>
              <w:t>20</w:t>
            </w:r>
            <w:r w:rsidR="006C53C2" w:rsidRPr="006C53C2">
              <w:rPr>
                <w:rFonts w:ascii="Arial" w:eastAsia="Times New Roman" w:hAnsi="Arial" w:cs="Arial"/>
              </w:rPr>
              <w:t>10</w:t>
            </w:r>
          </w:p>
        </w:tc>
        <w:tc>
          <w:tcPr>
            <w:tcW w:w="2120" w:type="dxa"/>
            <w:shd w:val="clear" w:color="auto" w:fill="auto"/>
            <w:noWrap/>
            <w:vAlign w:val="bottom"/>
            <w:hideMark/>
          </w:tcPr>
          <w:p w14:paraId="3969E2EC" w14:textId="24A70C13" w:rsidR="006C53C2" w:rsidRPr="006C53C2" w:rsidRDefault="006C53C2" w:rsidP="00DD735E">
            <w:pPr>
              <w:rPr>
                <w:rFonts w:ascii="Arial" w:eastAsia="Times New Roman" w:hAnsi="Arial" w:cs="Arial"/>
              </w:rPr>
            </w:pPr>
            <w:r w:rsidRPr="006C53C2">
              <w:rPr>
                <w:rFonts w:ascii="Arial" w:eastAsia="Times New Roman" w:hAnsi="Arial" w:cs="Arial"/>
              </w:rPr>
              <w:t xml:space="preserve">$183.5 </w:t>
            </w:r>
          </w:p>
        </w:tc>
        <w:tc>
          <w:tcPr>
            <w:tcW w:w="1840" w:type="dxa"/>
            <w:shd w:val="clear" w:color="auto" w:fill="auto"/>
            <w:noWrap/>
            <w:vAlign w:val="bottom"/>
            <w:hideMark/>
          </w:tcPr>
          <w:p w14:paraId="2E3337CD" w14:textId="2A9F26CD" w:rsidR="006C53C2" w:rsidRPr="006C53C2" w:rsidRDefault="006C53C2" w:rsidP="00DD735E">
            <w:pPr>
              <w:rPr>
                <w:rFonts w:ascii="Arial" w:eastAsia="Times New Roman" w:hAnsi="Arial" w:cs="Arial"/>
              </w:rPr>
            </w:pPr>
            <w:r w:rsidRPr="006C53C2">
              <w:rPr>
                <w:rFonts w:ascii="Arial" w:eastAsia="Times New Roman" w:hAnsi="Arial" w:cs="Arial"/>
              </w:rPr>
              <w:t xml:space="preserve">$302.9 </w:t>
            </w:r>
          </w:p>
        </w:tc>
        <w:tc>
          <w:tcPr>
            <w:tcW w:w="2034" w:type="dxa"/>
            <w:shd w:val="clear" w:color="auto" w:fill="auto"/>
            <w:noWrap/>
            <w:vAlign w:val="bottom"/>
            <w:hideMark/>
          </w:tcPr>
          <w:p w14:paraId="7DF0728F" w14:textId="6D8742AB" w:rsidR="006C53C2" w:rsidRPr="006C53C2" w:rsidRDefault="006C53C2" w:rsidP="00DD735E">
            <w:pPr>
              <w:rPr>
                <w:rFonts w:ascii="Arial" w:eastAsia="Times New Roman" w:hAnsi="Arial" w:cs="Arial"/>
              </w:rPr>
            </w:pPr>
            <w:r w:rsidRPr="006C53C2">
              <w:rPr>
                <w:rFonts w:ascii="Arial" w:eastAsia="Times New Roman" w:hAnsi="Arial" w:cs="Arial"/>
              </w:rPr>
              <w:t xml:space="preserve">$486.4 </w:t>
            </w:r>
          </w:p>
        </w:tc>
      </w:tr>
      <w:tr w:rsidR="006C53C2" w:rsidRPr="006C53C2" w14:paraId="7862B548" w14:textId="77777777" w:rsidTr="008255C2">
        <w:trPr>
          <w:trHeight w:val="280"/>
        </w:trPr>
        <w:tc>
          <w:tcPr>
            <w:tcW w:w="3660" w:type="dxa"/>
            <w:shd w:val="clear" w:color="auto" w:fill="auto"/>
            <w:vAlign w:val="bottom"/>
            <w:hideMark/>
          </w:tcPr>
          <w:p w14:paraId="0685E5CC" w14:textId="26751736" w:rsidR="006C53C2" w:rsidRPr="006C53C2" w:rsidRDefault="00D6256C" w:rsidP="006C53C2">
            <w:pPr>
              <w:rPr>
                <w:rFonts w:ascii="Arial" w:eastAsia="Times New Roman" w:hAnsi="Arial" w:cs="Arial"/>
              </w:rPr>
            </w:pPr>
            <w:r>
              <w:rPr>
                <w:rFonts w:ascii="Arial" w:eastAsia="Times New Roman" w:hAnsi="Arial" w:cs="Arial"/>
              </w:rPr>
              <w:t>2010</w:t>
            </w:r>
            <w:r w:rsidR="0095083B">
              <w:rPr>
                <w:rFonts w:ascii="Arial" w:hAnsi="Arial" w:cs="Arial"/>
              </w:rPr>
              <w:t>–</w:t>
            </w:r>
            <w:r>
              <w:rPr>
                <w:rFonts w:ascii="Arial" w:eastAsia="Times New Roman" w:hAnsi="Arial" w:cs="Arial"/>
              </w:rPr>
              <w:t>20</w:t>
            </w:r>
            <w:r w:rsidR="006C53C2" w:rsidRPr="006C53C2">
              <w:rPr>
                <w:rFonts w:ascii="Arial" w:eastAsia="Times New Roman" w:hAnsi="Arial" w:cs="Arial"/>
              </w:rPr>
              <w:t>11</w:t>
            </w:r>
          </w:p>
        </w:tc>
        <w:tc>
          <w:tcPr>
            <w:tcW w:w="2120" w:type="dxa"/>
            <w:shd w:val="clear" w:color="auto" w:fill="auto"/>
            <w:noWrap/>
            <w:vAlign w:val="bottom"/>
            <w:hideMark/>
          </w:tcPr>
          <w:p w14:paraId="59CD85A5" w14:textId="3CD325D4" w:rsidR="006C53C2" w:rsidRPr="006C53C2" w:rsidRDefault="008A6CCE" w:rsidP="00DD735E">
            <w:pPr>
              <w:rPr>
                <w:rFonts w:ascii="Arial" w:eastAsia="Times New Roman" w:hAnsi="Arial" w:cs="Arial"/>
              </w:rPr>
            </w:pPr>
            <w:r>
              <w:rPr>
                <w:rFonts w:ascii="Arial" w:eastAsia="Times New Roman" w:hAnsi="Arial" w:cs="Arial"/>
              </w:rPr>
              <w:t>$</w:t>
            </w:r>
            <w:r w:rsidR="006C53C2" w:rsidRPr="006C53C2">
              <w:rPr>
                <w:rFonts w:ascii="Arial" w:eastAsia="Times New Roman" w:hAnsi="Arial" w:cs="Arial"/>
              </w:rPr>
              <w:t>192.98</w:t>
            </w:r>
          </w:p>
        </w:tc>
        <w:tc>
          <w:tcPr>
            <w:tcW w:w="1840" w:type="dxa"/>
            <w:shd w:val="clear" w:color="auto" w:fill="auto"/>
            <w:noWrap/>
            <w:vAlign w:val="bottom"/>
            <w:hideMark/>
          </w:tcPr>
          <w:p w14:paraId="3C8CF02C" w14:textId="6A5CBCD1" w:rsidR="006C53C2" w:rsidRPr="006C53C2" w:rsidRDefault="008A6CCE" w:rsidP="00DD735E">
            <w:pPr>
              <w:rPr>
                <w:rFonts w:ascii="Arial" w:eastAsia="Times New Roman" w:hAnsi="Arial" w:cs="Arial"/>
              </w:rPr>
            </w:pPr>
            <w:r>
              <w:rPr>
                <w:rFonts w:ascii="Arial" w:eastAsia="Times New Roman" w:hAnsi="Arial" w:cs="Arial"/>
              </w:rPr>
              <w:t>$</w:t>
            </w:r>
            <w:r w:rsidR="006C53C2" w:rsidRPr="006C53C2">
              <w:rPr>
                <w:rFonts w:ascii="Arial" w:eastAsia="Times New Roman" w:hAnsi="Arial" w:cs="Arial"/>
              </w:rPr>
              <w:t>348.17</w:t>
            </w:r>
          </w:p>
        </w:tc>
        <w:tc>
          <w:tcPr>
            <w:tcW w:w="2034" w:type="dxa"/>
            <w:shd w:val="clear" w:color="auto" w:fill="auto"/>
            <w:noWrap/>
            <w:vAlign w:val="bottom"/>
            <w:hideMark/>
          </w:tcPr>
          <w:p w14:paraId="05E68AAD" w14:textId="791587AA" w:rsidR="006C53C2" w:rsidRPr="006C53C2" w:rsidRDefault="006C53C2" w:rsidP="00DD735E">
            <w:pPr>
              <w:rPr>
                <w:rFonts w:ascii="Arial" w:eastAsia="Times New Roman" w:hAnsi="Arial" w:cs="Arial"/>
              </w:rPr>
            </w:pPr>
            <w:r w:rsidRPr="006C53C2">
              <w:rPr>
                <w:rFonts w:ascii="Arial" w:eastAsia="Times New Roman" w:hAnsi="Arial" w:cs="Arial"/>
              </w:rPr>
              <w:t xml:space="preserve">$541.2 </w:t>
            </w:r>
          </w:p>
        </w:tc>
      </w:tr>
      <w:tr w:rsidR="006C53C2" w:rsidRPr="006C53C2" w14:paraId="37B09FE3" w14:textId="77777777" w:rsidTr="00220A11">
        <w:trPr>
          <w:trHeight w:val="300"/>
        </w:trPr>
        <w:tc>
          <w:tcPr>
            <w:tcW w:w="3660" w:type="dxa"/>
            <w:shd w:val="clear" w:color="auto" w:fill="auto"/>
            <w:vAlign w:val="bottom"/>
            <w:hideMark/>
          </w:tcPr>
          <w:p w14:paraId="7DD19253" w14:textId="560608BE" w:rsidR="006C53C2" w:rsidRPr="006C53C2" w:rsidRDefault="00D6256C" w:rsidP="006C53C2">
            <w:pPr>
              <w:rPr>
                <w:rFonts w:ascii="Arial" w:eastAsia="Times New Roman" w:hAnsi="Arial" w:cs="Arial"/>
              </w:rPr>
            </w:pPr>
            <w:r>
              <w:rPr>
                <w:rFonts w:ascii="Arial" w:eastAsia="Times New Roman" w:hAnsi="Arial" w:cs="Arial"/>
              </w:rPr>
              <w:t>2011</w:t>
            </w:r>
            <w:r w:rsidR="0095083B">
              <w:rPr>
                <w:rFonts w:ascii="Arial" w:hAnsi="Arial" w:cs="Arial"/>
              </w:rPr>
              <w:t>–</w:t>
            </w:r>
            <w:r>
              <w:rPr>
                <w:rFonts w:ascii="Arial" w:eastAsia="Times New Roman" w:hAnsi="Arial" w:cs="Arial"/>
              </w:rPr>
              <w:t>201</w:t>
            </w:r>
            <w:r w:rsidR="006C53C2" w:rsidRPr="006C53C2">
              <w:rPr>
                <w:rFonts w:ascii="Arial" w:eastAsia="Times New Roman" w:hAnsi="Arial" w:cs="Arial"/>
              </w:rPr>
              <w:t>2</w:t>
            </w:r>
          </w:p>
        </w:tc>
        <w:tc>
          <w:tcPr>
            <w:tcW w:w="2120" w:type="dxa"/>
            <w:shd w:val="clear" w:color="auto" w:fill="auto"/>
            <w:noWrap/>
            <w:vAlign w:val="bottom"/>
            <w:hideMark/>
          </w:tcPr>
          <w:p w14:paraId="6BE76E10" w14:textId="0B5F0644" w:rsidR="006C53C2" w:rsidRPr="006C53C2" w:rsidRDefault="008A6CCE" w:rsidP="00DD735E">
            <w:pPr>
              <w:rPr>
                <w:rFonts w:ascii="Arial" w:eastAsia="Times New Roman" w:hAnsi="Arial" w:cs="Arial"/>
              </w:rPr>
            </w:pPr>
            <w:r>
              <w:rPr>
                <w:rFonts w:ascii="Arial" w:eastAsia="Times New Roman" w:hAnsi="Arial" w:cs="Arial"/>
              </w:rPr>
              <w:t>$</w:t>
            </w:r>
            <w:r w:rsidR="006C53C2" w:rsidRPr="006C53C2">
              <w:rPr>
                <w:rFonts w:ascii="Arial" w:eastAsia="Times New Roman" w:hAnsi="Arial" w:cs="Arial"/>
              </w:rPr>
              <w:t>213.47</w:t>
            </w:r>
          </w:p>
        </w:tc>
        <w:tc>
          <w:tcPr>
            <w:tcW w:w="1840" w:type="dxa"/>
            <w:shd w:val="clear" w:color="auto" w:fill="auto"/>
            <w:noWrap/>
            <w:vAlign w:val="bottom"/>
            <w:hideMark/>
          </w:tcPr>
          <w:p w14:paraId="28765C04" w14:textId="02C488ED" w:rsidR="006C53C2" w:rsidRPr="006C53C2" w:rsidRDefault="008A6CCE" w:rsidP="00DD735E">
            <w:pPr>
              <w:rPr>
                <w:rFonts w:ascii="Arial" w:eastAsia="Times New Roman" w:hAnsi="Arial" w:cs="Arial"/>
              </w:rPr>
            </w:pPr>
            <w:r>
              <w:rPr>
                <w:rFonts w:ascii="Arial" w:eastAsia="Times New Roman" w:hAnsi="Arial" w:cs="Arial"/>
              </w:rPr>
              <w:t>$</w:t>
            </w:r>
            <w:r w:rsidR="006C53C2" w:rsidRPr="006C53C2">
              <w:rPr>
                <w:rFonts w:ascii="Arial" w:eastAsia="Times New Roman" w:hAnsi="Arial" w:cs="Arial"/>
              </w:rPr>
              <w:t>444.00</w:t>
            </w:r>
          </w:p>
        </w:tc>
        <w:tc>
          <w:tcPr>
            <w:tcW w:w="2034" w:type="dxa"/>
            <w:shd w:val="clear" w:color="auto" w:fill="auto"/>
            <w:noWrap/>
            <w:vAlign w:val="bottom"/>
            <w:hideMark/>
          </w:tcPr>
          <w:p w14:paraId="5FB4D733" w14:textId="4A027407" w:rsidR="006C53C2" w:rsidRPr="006C53C2" w:rsidRDefault="006C53C2" w:rsidP="00DD735E">
            <w:pPr>
              <w:rPr>
                <w:rFonts w:ascii="Arial" w:eastAsia="Times New Roman" w:hAnsi="Arial" w:cs="Arial"/>
              </w:rPr>
            </w:pPr>
            <w:r w:rsidRPr="006C53C2">
              <w:rPr>
                <w:rFonts w:ascii="Arial" w:eastAsia="Times New Roman" w:hAnsi="Arial" w:cs="Arial"/>
              </w:rPr>
              <w:t xml:space="preserve">$657.5 </w:t>
            </w:r>
          </w:p>
        </w:tc>
      </w:tr>
      <w:tr w:rsidR="006C53C2" w:rsidRPr="006C53C2" w14:paraId="531FB5E3" w14:textId="77777777" w:rsidTr="00220A11">
        <w:trPr>
          <w:trHeight w:val="300"/>
        </w:trPr>
        <w:tc>
          <w:tcPr>
            <w:tcW w:w="3660" w:type="dxa"/>
            <w:shd w:val="clear" w:color="auto" w:fill="auto"/>
            <w:vAlign w:val="bottom"/>
            <w:hideMark/>
          </w:tcPr>
          <w:p w14:paraId="6C065770" w14:textId="11F5827A" w:rsidR="00D6256C" w:rsidRDefault="00B66D02" w:rsidP="006C53C2">
            <w:pPr>
              <w:rPr>
                <w:rFonts w:ascii="Arial" w:eastAsia="Times New Roman" w:hAnsi="Arial" w:cs="Arial"/>
              </w:rPr>
            </w:pPr>
            <w:r>
              <w:rPr>
                <w:rFonts w:ascii="Arial" w:eastAsia="Times New Roman" w:hAnsi="Arial" w:cs="Arial"/>
              </w:rPr>
              <w:t>2012</w:t>
            </w:r>
            <w:r w:rsidR="0095083B">
              <w:rPr>
                <w:rFonts w:ascii="Arial" w:hAnsi="Arial" w:cs="Arial"/>
              </w:rPr>
              <w:t>–</w:t>
            </w:r>
            <w:r>
              <w:rPr>
                <w:rFonts w:ascii="Arial" w:eastAsia="Times New Roman" w:hAnsi="Arial" w:cs="Arial"/>
              </w:rPr>
              <w:t>20</w:t>
            </w:r>
            <w:r w:rsidR="006C53C2" w:rsidRPr="006C53C2">
              <w:rPr>
                <w:rFonts w:ascii="Arial" w:eastAsia="Times New Roman" w:hAnsi="Arial" w:cs="Arial"/>
              </w:rPr>
              <w:t xml:space="preserve">13 </w:t>
            </w:r>
          </w:p>
          <w:p w14:paraId="0DF29193" w14:textId="1ABD1183" w:rsidR="006C53C2" w:rsidRPr="006C53C2" w:rsidRDefault="00D6256C" w:rsidP="006C53C2">
            <w:pPr>
              <w:rPr>
                <w:rFonts w:ascii="Arial" w:eastAsia="Times New Roman" w:hAnsi="Arial" w:cs="Arial"/>
              </w:rPr>
            </w:pPr>
            <w:r>
              <w:rPr>
                <w:rFonts w:ascii="Arial" w:eastAsia="Times New Roman" w:hAnsi="Arial" w:cs="Arial"/>
              </w:rPr>
              <w:t>e</w:t>
            </w:r>
            <w:r w:rsidR="008A6CCE">
              <w:rPr>
                <w:rFonts w:ascii="Arial" w:eastAsia="Times New Roman" w:hAnsi="Arial" w:cs="Arial"/>
              </w:rPr>
              <w:t>stimated a</w:t>
            </w:r>
            <w:r w:rsidR="006C53C2" w:rsidRPr="006C53C2">
              <w:rPr>
                <w:rFonts w:ascii="Arial" w:eastAsia="Times New Roman" w:hAnsi="Arial" w:cs="Arial"/>
              </w:rPr>
              <w:t>ctual</w:t>
            </w:r>
          </w:p>
        </w:tc>
        <w:tc>
          <w:tcPr>
            <w:tcW w:w="2120" w:type="dxa"/>
            <w:shd w:val="clear" w:color="auto" w:fill="auto"/>
            <w:noWrap/>
            <w:vAlign w:val="bottom"/>
            <w:hideMark/>
          </w:tcPr>
          <w:p w14:paraId="2DC75A2B" w14:textId="578026C8" w:rsidR="006C53C2" w:rsidRPr="006C53C2" w:rsidRDefault="008A6CCE" w:rsidP="00DD735E">
            <w:pPr>
              <w:rPr>
                <w:rFonts w:ascii="Arial" w:eastAsia="Times New Roman" w:hAnsi="Arial" w:cs="Arial"/>
              </w:rPr>
            </w:pPr>
            <w:r>
              <w:rPr>
                <w:rFonts w:ascii="Arial" w:eastAsia="Times New Roman" w:hAnsi="Arial" w:cs="Arial"/>
              </w:rPr>
              <w:t>$</w:t>
            </w:r>
            <w:r w:rsidR="006C53C2" w:rsidRPr="006C53C2">
              <w:rPr>
                <w:rFonts w:ascii="Arial" w:eastAsia="Times New Roman" w:hAnsi="Arial" w:cs="Arial"/>
              </w:rPr>
              <w:t>221.03</w:t>
            </w:r>
          </w:p>
        </w:tc>
        <w:tc>
          <w:tcPr>
            <w:tcW w:w="1840" w:type="dxa"/>
            <w:shd w:val="clear" w:color="auto" w:fill="auto"/>
            <w:noWrap/>
            <w:vAlign w:val="bottom"/>
            <w:hideMark/>
          </w:tcPr>
          <w:p w14:paraId="53DAEC13" w14:textId="48C5AE42" w:rsidR="006C53C2" w:rsidRPr="006C53C2" w:rsidRDefault="008A6CCE" w:rsidP="00DD735E">
            <w:pPr>
              <w:rPr>
                <w:rFonts w:ascii="Arial" w:eastAsia="Times New Roman" w:hAnsi="Arial" w:cs="Arial"/>
              </w:rPr>
            </w:pPr>
            <w:r>
              <w:rPr>
                <w:rFonts w:ascii="Arial" w:eastAsia="Times New Roman" w:hAnsi="Arial" w:cs="Arial"/>
              </w:rPr>
              <w:t>$</w:t>
            </w:r>
            <w:r w:rsidR="006C53C2" w:rsidRPr="006C53C2">
              <w:rPr>
                <w:rFonts w:ascii="Arial" w:eastAsia="Times New Roman" w:hAnsi="Arial" w:cs="Arial"/>
              </w:rPr>
              <w:t>496.85</w:t>
            </w:r>
          </w:p>
        </w:tc>
        <w:tc>
          <w:tcPr>
            <w:tcW w:w="2034" w:type="dxa"/>
            <w:shd w:val="clear" w:color="auto" w:fill="auto"/>
            <w:noWrap/>
            <w:vAlign w:val="bottom"/>
            <w:hideMark/>
          </w:tcPr>
          <w:p w14:paraId="109F878C" w14:textId="5B2A0057" w:rsidR="006C53C2" w:rsidRPr="006C53C2" w:rsidRDefault="006C53C2" w:rsidP="00DD735E">
            <w:pPr>
              <w:rPr>
                <w:rFonts w:ascii="Arial" w:eastAsia="Times New Roman" w:hAnsi="Arial" w:cs="Arial"/>
              </w:rPr>
            </w:pPr>
            <w:r w:rsidRPr="006C53C2">
              <w:rPr>
                <w:rFonts w:ascii="Arial" w:eastAsia="Times New Roman" w:hAnsi="Arial" w:cs="Arial"/>
              </w:rPr>
              <w:t xml:space="preserve">$717.9 </w:t>
            </w:r>
          </w:p>
        </w:tc>
      </w:tr>
      <w:tr w:rsidR="006C53C2" w:rsidRPr="006C53C2" w14:paraId="6D5C2438" w14:textId="77777777" w:rsidTr="00220A11">
        <w:trPr>
          <w:trHeight w:val="300"/>
        </w:trPr>
        <w:tc>
          <w:tcPr>
            <w:tcW w:w="3660" w:type="dxa"/>
            <w:shd w:val="clear" w:color="auto" w:fill="auto"/>
            <w:vAlign w:val="bottom"/>
            <w:hideMark/>
          </w:tcPr>
          <w:p w14:paraId="4662108B" w14:textId="69D2C91A" w:rsidR="00D6256C" w:rsidRDefault="00B66D02" w:rsidP="006C53C2">
            <w:pPr>
              <w:rPr>
                <w:rFonts w:ascii="Arial" w:eastAsia="Times New Roman" w:hAnsi="Arial" w:cs="Arial"/>
              </w:rPr>
            </w:pPr>
            <w:r>
              <w:rPr>
                <w:rFonts w:ascii="Arial" w:eastAsia="Times New Roman" w:hAnsi="Arial" w:cs="Arial"/>
              </w:rPr>
              <w:t>2013</w:t>
            </w:r>
            <w:r w:rsidR="0095083B">
              <w:rPr>
                <w:rFonts w:ascii="Arial" w:hAnsi="Arial" w:cs="Arial"/>
              </w:rPr>
              <w:t>–</w:t>
            </w:r>
            <w:r>
              <w:rPr>
                <w:rFonts w:ascii="Arial" w:eastAsia="Times New Roman" w:hAnsi="Arial" w:cs="Arial"/>
              </w:rPr>
              <w:t>20</w:t>
            </w:r>
            <w:r w:rsidR="006C53C2" w:rsidRPr="006C53C2">
              <w:rPr>
                <w:rFonts w:ascii="Arial" w:eastAsia="Times New Roman" w:hAnsi="Arial" w:cs="Arial"/>
              </w:rPr>
              <w:t xml:space="preserve">14 </w:t>
            </w:r>
          </w:p>
          <w:p w14:paraId="0291AFDE" w14:textId="7B0529D1" w:rsidR="006C53C2" w:rsidRPr="006C53C2" w:rsidRDefault="00D6256C" w:rsidP="006C53C2">
            <w:pPr>
              <w:rPr>
                <w:rFonts w:ascii="Arial" w:eastAsia="Times New Roman" w:hAnsi="Arial" w:cs="Arial"/>
              </w:rPr>
            </w:pPr>
            <w:r>
              <w:rPr>
                <w:rFonts w:ascii="Arial" w:eastAsia="Times New Roman" w:hAnsi="Arial" w:cs="Arial"/>
              </w:rPr>
              <w:t>b</w:t>
            </w:r>
            <w:r w:rsidR="006C53C2" w:rsidRPr="006C53C2">
              <w:rPr>
                <w:rFonts w:ascii="Arial" w:eastAsia="Times New Roman" w:hAnsi="Arial" w:cs="Arial"/>
              </w:rPr>
              <w:t>udget estimate</w:t>
            </w:r>
          </w:p>
        </w:tc>
        <w:tc>
          <w:tcPr>
            <w:tcW w:w="2120" w:type="dxa"/>
            <w:shd w:val="clear" w:color="auto" w:fill="auto"/>
            <w:noWrap/>
            <w:vAlign w:val="bottom"/>
            <w:hideMark/>
          </w:tcPr>
          <w:p w14:paraId="2A14886E" w14:textId="3787059A" w:rsidR="006C53C2" w:rsidRPr="006C53C2" w:rsidRDefault="006C53C2" w:rsidP="00DD735E">
            <w:pPr>
              <w:rPr>
                <w:rFonts w:ascii="Arial" w:eastAsia="Times New Roman" w:hAnsi="Arial" w:cs="Arial"/>
              </w:rPr>
            </w:pPr>
            <w:r w:rsidRPr="006C53C2">
              <w:rPr>
                <w:rFonts w:ascii="Arial" w:eastAsia="Times New Roman" w:hAnsi="Arial" w:cs="Arial"/>
              </w:rPr>
              <w:t xml:space="preserve">$218.6 </w:t>
            </w:r>
          </w:p>
        </w:tc>
        <w:tc>
          <w:tcPr>
            <w:tcW w:w="1840" w:type="dxa"/>
            <w:shd w:val="clear" w:color="auto" w:fill="auto"/>
            <w:noWrap/>
            <w:vAlign w:val="bottom"/>
            <w:hideMark/>
          </w:tcPr>
          <w:p w14:paraId="70C2A0F4" w14:textId="36A04065" w:rsidR="006C53C2" w:rsidRPr="006C53C2" w:rsidRDefault="006C53C2" w:rsidP="00DD735E">
            <w:pPr>
              <w:rPr>
                <w:rFonts w:ascii="Arial" w:eastAsia="Times New Roman" w:hAnsi="Arial" w:cs="Arial"/>
              </w:rPr>
            </w:pPr>
            <w:r w:rsidRPr="006C53C2">
              <w:rPr>
                <w:rFonts w:ascii="Arial" w:eastAsia="Times New Roman" w:hAnsi="Arial" w:cs="Arial"/>
              </w:rPr>
              <w:t xml:space="preserve">$579.1 </w:t>
            </w:r>
          </w:p>
        </w:tc>
        <w:tc>
          <w:tcPr>
            <w:tcW w:w="2034" w:type="dxa"/>
            <w:shd w:val="clear" w:color="auto" w:fill="auto"/>
            <w:noWrap/>
            <w:vAlign w:val="bottom"/>
            <w:hideMark/>
          </w:tcPr>
          <w:p w14:paraId="75A59BEF" w14:textId="755BF49A" w:rsidR="006C53C2" w:rsidRPr="006C53C2" w:rsidRDefault="006C53C2" w:rsidP="00DD735E">
            <w:pPr>
              <w:rPr>
                <w:rFonts w:ascii="Arial" w:eastAsia="Times New Roman" w:hAnsi="Arial" w:cs="Arial"/>
              </w:rPr>
            </w:pPr>
            <w:r w:rsidRPr="006C53C2">
              <w:rPr>
                <w:rFonts w:ascii="Arial" w:eastAsia="Times New Roman" w:hAnsi="Arial" w:cs="Arial"/>
              </w:rPr>
              <w:t xml:space="preserve">$797.7 </w:t>
            </w:r>
          </w:p>
        </w:tc>
      </w:tr>
    </w:tbl>
    <w:p w14:paraId="52BF28DB" w14:textId="77777777" w:rsidR="0046169A" w:rsidRDefault="0046169A" w:rsidP="00C8139E">
      <w:pPr>
        <w:ind w:right="-1134"/>
      </w:pPr>
      <w:bookmarkStart w:id="0" w:name="_GoBack"/>
      <w:bookmarkEnd w:id="0"/>
    </w:p>
    <w:sectPr w:rsidR="0046169A" w:rsidSect="00C8139E">
      <w:pgSz w:w="12240" w:h="15840"/>
      <w:pgMar w:top="1134" w:right="2459" w:bottom="568"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yriadPro-Regular">
    <w:altName w:val="Myriad Pro"/>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10FE9"/>
    <w:multiLevelType w:val="hybridMultilevel"/>
    <w:tmpl w:val="25C664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1BE"/>
    <w:rsid w:val="000642DD"/>
    <w:rsid w:val="0011446A"/>
    <w:rsid w:val="001632BE"/>
    <w:rsid w:val="001B34B2"/>
    <w:rsid w:val="001D107D"/>
    <w:rsid w:val="0020402C"/>
    <w:rsid w:val="00220A11"/>
    <w:rsid w:val="0022297F"/>
    <w:rsid w:val="00233A0E"/>
    <w:rsid w:val="003A40E4"/>
    <w:rsid w:val="0046169A"/>
    <w:rsid w:val="004B28D6"/>
    <w:rsid w:val="0051105F"/>
    <w:rsid w:val="005E0A6F"/>
    <w:rsid w:val="00616CBD"/>
    <w:rsid w:val="006C53C2"/>
    <w:rsid w:val="007D19A2"/>
    <w:rsid w:val="008255C2"/>
    <w:rsid w:val="008A6CCE"/>
    <w:rsid w:val="008E01BE"/>
    <w:rsid w:val="0095083B"/>
    <w:rsid w:val="009971EC"/>
    <w:rsid w:val="009A3EBE"/>
    <w:rsid w:val="00B66D02"/>
    <w:rsid w:val="00BE6185"/>
    <w:rsid w:val="00C619EB"/>
    <w:rsid w:val="00C8139E"/>
    <w:rsid w:val="00D104E2"/>
    <w:rsid w:val="00D4462C"/>
    <w:rsid w:val="00D6256C"/>
    <w:rsid w:val="00D80944"/>
    <w:rsid w:val="00DD735E"/>
    <w:rsid w:val="00E110A6"/>
    <w:rsid w:val="00EC178C"/>
    <w:rsid w:val="00F01783"/>
    <w:rsid w:val="00FA449D"/>
    <w:rsid w:val="00FF0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4DFB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 HEADING"/>
    <w:basedOn w:val="Normal"/>
    <w:uiPriority w:val="99"/>
    <w:rsid w:val="00F01783"/>
    <w:pPr>
      <w:widowControl w:val="0"/>
      <w:suppressAutoHyphens/>
      <w:autoSpaceDE w:val="0"/>
      <w:autoSpaceDN w:val="0"/>
      <w:adjustRightInd w:val="0"/>
      <w:spacing w:after="57" w:line="320" w:lineRule="atLeast"/>
      <w:textAlignment w:val="center"/>
    </w:pPr>
    <w:rPr>
      <w:rFonts w:ascii="MyriadPro-Regular" w:eastAsia="Times New Roman" w:hAnsi="MyriadPro-Regular" w:cs="MyriadPro-Regular"/>
      <w:color w:val="00B29B"/>
      <w:sz w:val="28"/>
      <w:szCs w:val="28"/>
    </w:rPr>
  </w:style>
  <w:style w:type="paragraph" w:styleId="BalloonText">
    <w:name w:val="Balloon Text"/>
    <w:basedOn w:val="Normal"/>
    <w:link w:val="BalloonTextChar"/>
    <w:uiPriority w:val="99"/>
    <w:semiHidden/>
    <w:unhideWhenUsed/>
    <w:rsid w:val="008E01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01BE"/>
    <w:rPr>
      <w:rFonts w:ascii="Lucida Grande" w:hAnsi="Lucida Grande" w:cs="Lucida Grande"/>
      <w:sz w:val="18"/>
      <w:szCs w:val="18"/>
    </w:rPr>
  </w:style>
  <w:style w:type="paragraph" w:customStyle="1" w:styleId="Default">
    <w:name w:val="Default"/>
    <w:rsid w:val="00D80944"/>
    <w:pPr>
      <w:widowControl w:val="0"/>
      <w:autoSpaceDE w:val="0"/>
      <w:autoSpaceDN w:val="0"/>
      <w:adjustRightInd w:val="0"/>
    </w:pPr>
    <w:rPr>
      <w:rFonts w:ascii="Arial" w:hAnsi="Arial" w:cs="Arial"/>
      <w:color w:val="000000"/>
    </w:rPr>
  </w:style>
  <w:style w:type="paragraph" w:styleId="ListParagraph">
    <w:name w:val="List Paragraph"/>
    <w:basedOn w:val="Normal"/>
    <w:uiPriority w:val="34"/>
    <w:qFormat/>
    <w:rsid w:val="003A40E4"/>
    <w:pPr>
      <w:ind w:left="720"/>
      <w:contextualSpacing/>
    </w:pPr>
  </w:style>
  <w:style w:type="paragraph" w:customStyle="1" w:styleId="CharCharCharCharCharChar">
    <w:name w:val="Char Char Char Char Char Char"/>
    <w:basedOn w:val="Normal"/>
    <w:rsid w:val="003A40E4"/>
    <w:rPr>
      <w:rFonts w:ascii="Arial" w:eastAsia="Times New Roman" w:hAnsi="Arial" w:cs="Arial"/>
      <w:sz w:val="22"/>
      <w:szCs w:val="22"/>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 HEADING"/>
    <w:basedOn w:val="Normal"/>
    <w:uiPriority w:val="99"/>
    <w:rsid w:val="00F01783"/>
    <w:pPr>
      <w:widowControl w:val="0"/>
      <w:suppressAutoHyphens/>
      <w:autoSpaceDE w:val="0"/>
      <w:autoSpaceDN w:val="0"/>
      <w:adjustRightInd w:val="0"/>
      <w:spacing w:after="57" w:line="320" w:lineRule="atLeast"/>
      <w:textAlignment w:val="center"/>
    </w:pPr>
    <w:rPr>
      <w:rFonts w:ascii="MyriadPro-Regular" w:eastAsia="Times New Roman" w:hAnsi="MyriadPro-Regular" w:cs="MyriadPro-Regular"/>
      <w:color w:val="00B29B"/>
      <w:sz w:val="28"/>
      <w:szCs w:val="28"/>
    </w:rPr>
  </w:style>
  <w:style w:type="paragraph" w:styleId="BalloonText">
    <w:name w:val="Balloon Text"/>
    <w:basedOn w:val="Normal"/>
    <w:link w:val="BalloonTextChar"/>
    <w:uiPriority w:val="99"/>
    <w:semiHidden/>
    <w:unhideWhenUsed/>
    <w:rsid w:val="008E01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01BE"/>
    <w:rPr>
      <w:rFonts w:ascii="Lucida Grande" w:hAnsi="Lucida Grande" w:cs="Lucida Grande"/>
      <w:sz w:val="18"/>
      <w:szCs w:val="18"/>
    </w:rPr>
  </w:style>
  <w:style w:type="paragraph" w:customStyle="1" w:styleId="Default">
    <w:name w:val="Default"/>
    <w:rsid w:val="00D80944"/>
    <w:pPr>
      <w:widowControl w:val="0"/>
      <w:autoSpaceDE w:val="0"/>
      <w:autoSpaceDN w:val="0"/>
      <w:adjustRightInd w:val="0"/>
    </w:pPr>
    <w:rPr>
      <w:rFonts w:ascii="Arial" w:hAnsi="Arial" w:cs="Arial"/>
      <w:color w:val="000000"/>
    </w:rPr>
  </w:style>
  <w:style w:type="paragraph" w:styleId="ListParagraph">
    <w:name w:val="List Paragraph"/>
    <w:basedOn w:val="Normal"/>
    <w:uiPriority w:val="34"/>
    <w:qFormat/>
    <w:rsid w:val="003A40E4"/>
    <w:pPr>
      <w:ind w:left="720"/>
      <w:contextualSpacing/>
    </w:pPr>
  </w:style>
  <w:style w:type="paragraph" w:customStyle="1" w:styleId="CharCharCharCharCharChar">
    <w:name w:val="Char Char Char Char Char Char"/>
    <w:basedOn w:val="Normal"/>
    <w:rsid w:val="003A40E4"/>
    <w:rPr>
      <w:rFonts w:ascii="Arial" w:eastAsia="Times New Roman" w:hAnsi="Arial" w:cs="Arial"/>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838457">
      <w:bodyDiv w:val="1"/>
      <w:marLeft w:val="0"/>
      <w:marRight w:val="0"/>
      <w:marTop w:val="0"/>
      <w:marBottom w:val="0"/>
      <w:divBdr>
        <w:top w:val="none" w:sz="0" w:space="0" w:color="auto"/>
        <w:left w:val="none" w:sz="0" w:space="0" w:color="auto"/>
        <w:bottom w:val="none" w:sz="0" w:space="0" w:color="auto"/>
        <w:right w:val="none" w:sz="0" w:space="0" w:color="auto"/>
      </w:divBdr>
    </w:div>
    <w:div w:id="1925139881">
      <w:bodyDiv w:val="1"/>
      <w:marLeft w:val="0"/>
      <w:marRight w:val="0"/>
      <w:marTop w:val="0"/>
      <w:marBottom w:val="0"/>
      <w:divBdr>
        <w:top w:val="none" w:sz="0" w:space="0" w:color="auto"/>
        <w:left w:val="none" w:sz="0" w:space="0" w:color="auto"/>
        <w:bottom w:val="none" w:sz="0" w:space="0" w:color="auto"/>
        <w:right w:val="none" w:sz="0" w:space="0" w:color="auto"/>
      </w:divBdr>
    </w:div>
    <w:div w:id="2142307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99322-B8E0-47DB-BB5A-6246232CE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1462</Words>
  <Characters>8337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Bulletin 2013-14</dc:title>
  <dc:creator>Mick Everitt</dc:creator>
  <cp:keywords>Disability Services Commission Budget Bulletin 2013-14; Disability Services Commission funding; disability funding 2013-14</cp:keywords>
  <cp:lastModifiedBy>Stephanie Chapman</cp:lastModifiedBy>
  <cp:revision>6</cp:revision>
  <cp:lastPrinted>2013-09-03T02:55:00Z</cp:lastPrinted>
  <dcterms:created xsi:type="dcterms:W3CDTF">2013-08-26T02:02:00Z</dcterms:created>
  <dcterms:modified xsi:type="dcterms:W3CDTF">2013-09-03T02:55:00Z</dcterms:modified>
</cp:coreProperties>
</file>