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3119B" w14:textId="77777777" w:rsidR="0046169A" w:rsidRPr="001E17BB" w:rsidRDefault="00241638" w:rsidP="00241638">
      <w:pPr>
        <w:rPr>
          <w:rFonts w:ascii="Arial" w:hAnsi="Arial" w:cs="Arial"/>
        </w:rPr>
      </w:pPr>
      <w:r w:rsidRPr="001E17BB">
        <w:rPr>
          <w:rFonts w:ascii="Arial" w:hAnsi="Arial" w:cs="Arial"/>
          <w:b/>
          <w:noProof/>
          <w:sz w:val="28"/>
          <w:szCs w:val="28"/>
          <w:lang w:val="en-AU" w:eastAsia="en-AU"/>
        </w:rPr>
        <w:drawing>
          <wp:inline distT="0" distB="0" distL="0" distR="0" wp14:anchorId="23FFB1BC" wp14:editId="235232EB">
            <wp:extent cx="2285099" cy="811674"/>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dual_badged_logo_Process.jpg"/>
                    <pic:cNvPicPr/>
                  </pic:nvPicPr>
                  <pic:blipFill>
                    <a:blip r:embed="rId6">
                      <a:extLst>
                        <a:ext uri="{28A0092B-C50C-407E-A947-70E740481C1C}">
                          <a14:useLocalDpi xmlns:a14="http://schemas.microsoft.com/office/drawing/2010/main" val="0"/>
                        </a:ext>
                      </a:extLst>
                    </a:blip>
                    <a:stretch>
                      <a:fillRect/>
                    </a:stretch>
                  </pic:blipFill>
                  <pic:spPr>
                    <a:xfrm>
                      <a:off x="0" y="0"/>
                      <a:ext cx="2285099" cy="811674"/>
                    </a:xfrm>
                    <a:prstGeom prst="rect">
                      <a:avLst/>
                    </a:prstGeom>
                  </pic:spPr>
                </pic:pic>
              </a:graphicData>
            </a:graphic>
          </wp:inline>
        </w:drawing>
      </w:r>
    </w:p>
    <w:p w14:paraId="60B7257F" w14:textId="77777777" w:rsidR="00241638" w:rsidRPr="001E17BB" w:rsidRDefault="00241638" w:rsidP="00241638">
      <w:pPr>
        <w:rPr>
          <w:rFonts w:ascii="Arial" w:hAnsi="Arial" w:cs="Arial"/>
        </w:rPr>
      </w:pPr>
    </w:p>
    <w:p w14:paraId="6E65B412" w14:textId="2B21E321" w:rsidR="009C2331" w:rsidRPr="00315175" w:rsidRDefault="009C2331" w:rsidP="00AC71BA">
      <w:pPr>
        <w:outlineLvl w:val="0"/>
        <w:rPr>
          <w:rFonts w:ascii="Arial" w:hAnsi="Arial" w:cs="Arial"/>
          <w:b/>
          <w:sz w:val="36"/>
          <w:szCs w:val="36"/>
        </w:rPr>
      </w:pPr>
      <w:r w:rsidRPr="00315175">
        <w:rPr>
          <w:rFonts w:ascii="Arial" w:hAnsi="Arial" w:cs="Arial"/>
          <w:b/>
          <w:sz w:val="36"/>
          <w:szCs w:val="36"/>
        </w:rPr>
        <w:t>Budget Bulletin 2014–2015</w:t>
      </w:r>
    </w:p>
    <w:p w14:paraId="4EBA0429" w14:textId="77777777" w:rsidR="009C2331" w:rsidRDefault="009C2331" w:rsidP="009C2331">
      <w:pPr>
        <w:rPr>
          <w:rFonts w:ascii="Arial" w:hAnsi="Arial" w:cs="Arial"/>
        </w:rPr>
      </w:pPr>
    </w:p>
    <w:p w14:paraId="11197843" w14:textId="77777777" w:rsidR="009C2331" w:rsidRPr="009C2331" w:rsidRDefault="009C2331" w:rsidP="009C2331">
      <w:pPr>
        <w:rPr>
          <w:rFonts w:ascii="Arial" w:hAnsi="Arial" w:cs="Arial"/>
        </w:rPr>
      </w:pPr>
      <w:r w:rsidRPr="009C2331">
        <w:rPr>
          <w:rFonts w:ascii="Arial" w:hAnsi="Arial" w:cs="Arial"/>
        </w:rPr>
        <w:t>The approaching financial year is a significant period for the Disability Services Commission. It will be a time when the State Government’s commitment to individualised supports and services to people with disability, their families and carers will be recognised through State Budget allocations and a range of actions to support reforms.</w:t>
      </w:r>
    </w:p>
    <w:p w14:paraId="28ADC5A2" w14:textId="77777777" w:rsidR="00315175" w:rsidRDefault="00315175" w:rsidP="009C2331">
      <w:pPr>
        <w:rPr>
          <w:rFonts w:ascii="Arial" w:hAnsi="Arial" w:cs="Arial"/>
        </w:rPr>
      </w:pPr>
    </w:p>
    <w:p w14:paraId="19276DCC" w14:textId="217B6163" w:rsidR="009C2331" w:rsidRPr="009C2331" w:rsidRDefault="009C2331" w:rsidP="009C2331">
      <w:pPr>
        <w:rPr>
          <w:rFonts w:ascii="Arial" w:hAnsi="Arial" w:cs="Arial"/>
        </w:rPr>
      </w:pPr>
      <w:r w:rsidRPr="009C2331">
        <w:rPr>
          <w:rFonts w:ascii="Arial" w:hAnsi="Arial" w:cs="Arial"/>
        </w:rPr>
        <w:t>In the 2014–2015 Budget, the West Australian Government will provide $692 million to support people with disability, their families and carers. This is an increase of 8.2 per cent or $52.8 million when compared with the previous year and</w:t>
      </w:r>
      <w:r w:rsidR="00193620">
        <w:rPr>
          <w:rFonts w:ascii="Arial" w:hAnsi="Arial" w:cs="Arial"/>
        </w:rPr>
        <w:t xml:space="preserve"> includes indexation and growth</w:t>
      </w:r>
      <w:r w:rsidRPr="009C2331">
        <w:rPr>
          <w:rFonts w:ascii="Arial" w:hAnsi="Arial" w:cs="Arial"/>
        </w:rPr>
        <w:t xml:space="preserve"> funding. The State Government will also contribute a further $33 million in growth towards the NDIS and My Way trial sites.</w:t>
      </w:r>
    </w:p>
    <w:p w14:paraId="0AB5E021" w14:textId="77777777" w:rsidR="009C2331" w:rsidRDefault="009C2331" w:rsidP="009C2331">
      <w:pPr>
        <w:rPr>
          <w:rFonts w:ascii="Arial" w:hAnsi="Arial" w:cs="Arial"/>
        </w:rPr>
      </w:pPr>
    </w:p>
    <w:p w14:paraId="18ABDB37" w14:textId="77777777" w:rsidR="009C2331" w:rsidRPr="009C2331" w:rsidRDefault="009C2331" w:rsidP="00AC71BA">
      <w:pPr>
        <w:outlineLvl w:val="0"/>
        <w:rPr>
          <w:rFonts w:ascii="Arial" w:hAnsi="Arial" w:cs="Arial"/>
          <w:b/>
          <w:sz w:val="28"/>
          <w:szCs w:val="28"/>
        </w:rPr>
      </w:pPr>
      <w:r w:rsidRPr="009C2331">
        <w:rPr>
          <w:rFonts w:ascii="Arial" w:hAnsi="Arial" w:cs="Arial"/>
          <w:b/>
          <w:sz w:val="28"/>
          <w:szCs w:val="28"/>
        </w:rPr>
        <w:t>Budget overview</w:t>
      </w:r>
    </w:p>
    <w:p w14:paraId="140597FD" w14:textId="77777777" w:rsidR="009C2331" w:rsidRPr="009C2331" w:rsidRDefault="009C2331" w:rsidP="009C2331">
      <w:pPr>
        <w:rPr>
          <w:rFonts w:ascii="Arial" w:hAnsi="Arial" w:cs="Arial"/>
        </w:rPr>
      </w:pPr>
      <w:r w:rsidRPr="009C2331">
        <w:rPr>
          <w:rFonts w:ascii="Arial" w:hAnsi="Arial" w:cs="Arial"/>
        </w:rPr>
        <w:t>The Commission’s Budget for 2014–2015 will be $873 million and provide for ongoing services to people with disability. This includes contributions from the Commonwealth Government and other income sources. The increases in the Commission’s Budget since 2005–2006 are illustrated in a graph on page 2.</w:t>
      </w:r>
    </w:p>
    <w:p w14:paraId="2D839418" w14:textId="77777777" w:rsidR="00315175" w:rsidRDefault="00315175" w:rsidP="009C2331">
      <w:pPr>
        <w:rPr>
          <w:rFonts w:ascii="Arial" w:hAnsi="Arial" w:cs="Arial"/>
        </w:rPr>
      </w:pPr>
    </w:p>
    <w:p w14:paraId="35A47192" w14:textId="77777777" w:rsidR="009C2331" w:rsidRPr="009C2331" w:rsidRDefault="009C2331" w:rsidP="009C2331">
      <w:pPr>
        <w:rPr>
          <w:rFonts w:ascii="Arial" w:hAnsi="Arial" w:cs="Arial"/>
        </w:rPr>
      </w:pPr>
      <w:r w:rsidRPr="009C2331">
        <w:rPr>
          <w:rFonts w:ascii="Arial" w:hAnsi="Arial" w:cs="Arial"/>
        </w:rPr>
        <w:t>The State’s total growth funding in the Budget over the budget and forward estimates period (2014–2015 to 2017–2018) is $180 million. This includes an allocation of $25 million for 2014–2015. This funding will be provided to disability sector organisations to provide supports and services to a greater number of people with disability. In addition to this recurrent growth, a further one-off funding allocation of $2.5 million for 2014–2015 has been provided to increase the Continence Management and Support Scheme.</w:t>
      </w:r>
    </w:p>
    <w:p w14:paraId="2BD5380F" w14:textId="77777777" w:rsidR="00315175" w:rsidRDefault="00315175" w:rsidP="009C2331">
      <w:pPr>
        <w:rPr>
          <w:rFonts w:ascii="Arial" w:hAnsi="Arial" w:cs="Arial"/>
        </w:rPr>
      </w:pPr>
    </w:p>
    <w:p w14:paraId="00A5AB69" w14:textId="228EC175" w:rsidR="009C2331" w:rsidRPr="009C2331" w:rsidRDefault="009C2331" w:rsidP="009C2331">
      <w:pPr>
        <w:rPr>
          <w:rFonts w:ascii="Arial" w:hAnsi="Arial" w:cs="Arial"/>
        </w:rPr>
      </w:pPr>
      <w:r w:rsidRPr="009C2331">
        <w:rPr>
          <w:rFonts w:ascii="Arial" w:hAnsi="Arial" w:cs="Arial"/>
        </w:rPr>
        <w:t>The focus of the 2014</w:t>
      </w:r>
      <w:r w:rsidR="00193620" w:rsidRPr="009C2331">
        <w:rPr>
          <w:rFonts w:ascii="Arial" w:hAnsi="Arial" w:cs="Arial"/>
        </w:rPr>
        <w:t>–</w:t>
      </w:r>
      <w:r w:rsidRPr="009C2331">
        <w:rPr>
          <w:rFonts w:ascii="Arial" w:hAnsi="Arial" w:cs="Arial"/>
        </w:rPr>
        <w:t>2015 Budget is to ensure the Commission continues to deliver more services across WA through the disability sector. It will focus on areas of critical need, such as accommodation options and individual support packages, and will ensure people are able to access and participate in the life of the community.</w:t>
      </w:r>
    </w:p>
    <w:p w14:paraId="7E6408E8" w14:textId="77777777" w:rsidR="009C2331" w:rsidRDefault="009C2331" w:rsidP="009C2331">
      <w:pPr>
        <w:rPr>
          <w:rFonts w:ascii="Arial" w:hAnsi="Arial" w:cs="Arial"/>
        </w:rPr>
      </w:pPr>
    </w:p>
    <w:p w14:paraId="6EAD858D" w14:textId="77777777" w:rsidR="009C2331" w:rsidRPr="009C2331" w:rsidRDefault="009C2331" w:rsidP="00AC71BA">
      <w:pPr>
        <w:outlineLvl w:val="0"/>
        <w:rPr>
          <w:rFonts w:ascii="Arial" w:hAnsi="Arial" w:cs="Arial"/>
          <w:b/>
          <w:sz w:val="28"/>
          <w:szCs w:val="28"/>
        </w:rPr>
      </w:pPr>
      <w:r w:rsidRPr="009C2331">
        <w:rPr>
          <w:rFonts w:ascii="Arial" w:hAnsi="Arial" w:cs="Arial"/>
          <w:b/>
          <w:sz w:val="28"/>
          <w:szCs w:val="28"/>
        </w:rPr>
        <w:t>Disability reform agreement</w:t>
      </w:r>
    </w:p>
    <w:p w14:paraId="11E96B16" w14:textId="77777777" w:rsidR="009C2331" w:rsidRPr="009C2331" w:rsidRDefault="009C2331" w:rsidP="009C2331">
      <w:pPr>
        <w:rPr>
          <w:rFonts w:ascii="Arial" w:hAnsi="Arial" w:cs="Arial"/>
        </w:rPr>
      </w:pPr>
      <w:r w:rsidRPr="009C2331">
        <w:rPr>
          <w:rFonts w:ascii="Arial" w:hAnsi="Arial" w:cs="Arial"/>
        </w:rPr>
        <w:t>On 5 August 2013 the Commonwealth and the WA governments reached an agreement for disability reform in WA. The agreement means that from 1 July 2014 the Commission, on behalf of the State Government, will implement the WA National Disability Insurance Scheme (NDIS) My Way trial sites under State legislation. At the same time, the National Disability Insurance Agency (NDIA), on behalf of the Commonwealth Government, will implement a NDIA NDIS trial site under Commonwealth legislation.</w:t>
      </w:r>
    </w:p>
    <w:p w14:paraId="2DD45B09" w14:textId="77777777" w:rsidR="00315175" w:rsidRDefault="00315175" w:rsidP="009C2331">
      <w:pPr>
        <w:rPr>
          <w:rFonts w:ascii="Arial" w:hAnsi="Arial" w:cs="Arial"/>
        </w:rPr>
      </w:pPr>
    </w:p>
    <w:p w14:paraId="42BDE98F" w14:textId="77777777" w:rsidR="009C2331" w:rsidRDefault="009C2331" w:rsidP="009C2331">
      <w:pPr>
        <w:rPr>
          <w:rFonts w:ascii="Arial" w:hAnsi="Arial" w:cs="Arial"/>
        </w:rPr>
      </w:pPr>
      <w:r w:rsidRPr="009C2331">
        <w:rPr>
          <w:rFonts w:ascii="Arial" w:hAnsi="Arial" w:cs="Arial"/>
        </w:rPr>
        <w:t xml:space="preserve">Services required to support people with disability in the trial sites for My Way, in the Lower South West and Cockburn-Kwinana, and for the NDIS in the Perth Hills </w:t>
      </w:r>
      <w:r w:rsidRPr="009C2331">
        <w:rPr>
          <w:rFonts w:ascii="Arial" w:hAnsi="Arial" w:cs="Arial"/>
        </w:rPr>
        <w:lastRenderedPageBreak/>
        <w:t>have required the State Government to contribute a further $33 million over the two year trial period.</w:t>
      </w:r>
    </w:p>
    <w:p w14:paraId="443A6DDE" w14:textId="77777777" w:rsidR="00315175" w:rsidRDefault="00315175" w:rsidP="009C2331">
      <w:pPr>
        <w:rPr>
          <w:rFonts w:ascii="Arial" w:hAnsi="Arial" w:cs="Arial"/>
        </w:rPr>
      </w:pPr>
    </w:p>
    <w:p w14:paraId="2A6B89B4" w14:textId="77777777" w:rsidR="00AC71BA" w:rsidRDefault="00AC71BA" w:rsidP="009C2331">
      <w:pPr>
        <w:rPr>
          <w:rFonts w:ascii="Arial" w:hAnsi="Arial" w:cs="Arial"/>
        </w:rPr>
      </w:pPr>
    </w:p>
    <w:p w14:paraId="43503BD7" w14:textId="77777777" w:rsidR="00AC71BA" w:rsidRPr="00460521" w:rsidRDefault="00AC71BA" w:rsidP="00AC71BA">
      <w:pPr>
        <w:widowControl w:val="0"/>
        <w:autoSpaceDE w:val="0"/>
        <w:autoSpaceDN w:val="0"/>
        <w:adjustRightInd w:val="0"/>
        <w:ind w:right="-1134"/>
        <w:outlineLvl w:val="0"/>
        <w:rPr>
          <w:rFonts w:ascii="Arial" w:eastAsia="Times New Roman" w:hAnsi="Arial" w:cs="Arial"/>
          <w:b/>
          <w:bCs/>
          <w:color w:val="000000"/>
        </w:rPr>
      </w:pPr>
      <w:r w:rsidRPr="00460521">
        <w:rPr>
          <w:rFonts w:ascii="Arial" w:eastAsia="Times New Roman" w:hAnsi="Arial" w:cs="Arial"/>
          <w:b/>
          <w:bCs/>
          <w:color w:val="000000"/>
        </w:rPr>
        <w:t xml:space="preserve">State–Commonwealth contributions to disability funding </w:t>
      </w:r>
    </w:p>
    <w:p w14:paraId="7A8E95D4" w14:textId="77777777" w:rsidR="00AC71BA" w:rsidRPr="009C2331" w:rsidRDefault="00AC71BA" w:rsidP="009C2331">
      <w:pPr>
        <w:rPr>
          <w:rFonts w:ascii="Arial" w:hAnsi="Arial" w:cs="Arial"/>
        </w:rPr>
      </w:pPr>
    </w:p>
    <w:tbl>
      <w:tblPr>
        <w:tblW w:w="9372"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506"/>
        <w:gridCol w:w="1283"/>
        <w:gridCol w:w="2003"/>
        <w:gridCol w:w="1580"/>
      </w:tblGrid>
      <w:tr w:rsidR="00AC71BA" w:rsidRPr="0087222C" w14:paraId="644CF489" w14:textId="77777777" w:rsidTr="003A5185">
        <w:trPr>
          <w:trHeight w:val="300"/>
        </w:trPr>
        <w:tc>
          <w:tcPr>
            <w:tcW w:w="4506" w:type="dxa"/>
            <w:shd w:val="clear" w:color="000000" w:fill="FFFFFF"/>
            <w:noWrap/>
            <w:vAlign w:val="bottom"/>
            <w:hideMark/>
          </w:tcPr>
          <w:p w14:paraId="10E048A1"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Financial year</w:t>
            </w:r>
          </w:p>
          <w:p w14:paraId="074EFBF8" w14:textId="77777777" w:rsidR="00AC71BA" w:rsidRPr="0087222C" w:rsidRDefault="00AC71BA" w:rsidP="003A5185">
            <w:pPr>
              <w:rPr>
                <w:rFonts w:ascii="Arial" w:eastAsia="Times New Roman" w:hAnsi="Arial" w:cs="Arial"/>
                <w:b/>
                <w:color w:val="000000"/>
              </w:rPr>
            </w:pPr>
          </w:p>
        </w:tc>
        <w:tc>
          <w:tcPr>
            <w:tcW w:w="1283" w:type="dxa"/>
            <w:shd w:val="clear" w:color="000000" w:fill="FFFFFF"/>
            <w:noWrap/>
            <w:vAlign w:val="bottom"/>
            <w:hideMark/>
          </w:tcPr>
          <w:p w14:paraId="7C250466"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 xml:space="preserve">State </w:t>
            </w:r>
          </w:p>
          <w:p w14:paraId="3326BCCF"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($million)</w:t>
            </w:r>
          </w:p>
        </w:tc>
        <w:tc>
          <w:tcPr>
            <w:tcW w:w="2003" w:type="dxa"/>
            <w:shd w:val="clear" w:color="000000" w:fill="FFFFFF"/>
            <w:noWrap/>
            <w:vAlign w:val="bottom"/>
            <w:hideMark/>
          </w:tcPr>
          <w:p w14:paraId="70261F7F"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Commonwealth</w:t>
            </w:r>
          </w:p>
          <w:p w14:paraId="0193443A"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($million)</w:t>
            </w:r>
          </w:p>
        </w:tc>
        <w:tc>
          <w:tcPr>
            <w:tcW w:w="1580" w:type="dxa"/>
            <w:shd w:val="clear" w:color="000000" w:fill="FFFFFF"/>
            <w:noWrap/>
            <w:vAlign w:val="bottom"/>
            <w:hideMark/>
          </w:tcPr>
          <w:p w14:paraId="09AD0691"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Combined</w:t>
            </w:r>
          </w:p>
          <w:p w14:paraId="4DE1A392" w14:textId="77777777" w:rsidR="00AC71BA" w:rsidRPr="0087222C" w:rsidRDefault="00AC71BA" w:rsidP="003A5185">
            <w:pPr>
              <w:rPr>
                <w:rFonts w:ascii="Arial" w:eastAsia="Times New Roman" w:hAnsi="Arial" w:cs="Arial"/>
                <w:b/>
                <w:color w:val="000000"/>
              </w:rPr>
            </w:pPr>
            <w:r w:rsidRPr="0087222C">
              <w:rPr>
                <w:rFonts w:ascii="Arial" w:eastAsia="Times New Roman" w:hAnsi="Arial" w:cs="Arial"/>
                <w:b/>
                <w:color w:val="000000"/>
              </w:rPr>
              <w:t>($million)</w:t>
            </w:r>
          </w:p>
        </w:tc>
      </w:tr>
      <w:tr w:rsidR="00AC71BA" w:rsidRPr="0087222C" w14:paraId="3DEC3B0F" w14:textId="77777777" w:rsidTr="003A5185">
        <w:trPr>
          <w:trHeight w:val="300"/>
        </w:trPr>
        <w:tc>
          <w:tcPr>
            <w:tcW w:w="4506" w:type="dxa"/>
            <w:shd w:val="clear" w:color="000000" w:fill="FFFFFF"/>
            <w:noWrap/>
            <w:vAlign w:val="bottom"/>
          </w:tcPr>
          <w:p w14:paraId="774E21DA" w14:textId="78AD5967" w:rsidR="00AC71BA" w:rsidRDefault="00AC71BA" w:rsidP="003A5185">
            <w:pPr>
              <w:rPr>
                <w:rFonts w:ascii="Arial" w:eastAsia="Times New Roman" w:hAnsi="Arial" w:cs="Arial"/>
                <w:color w:val="000000"/>
              </w:rPr>
            </w:pPr>
            <w:r>
              <w:rPr>
                <w:rFonts w:ascii="Arial" w:eastAsia="Times New Roman" w:hAnsi="Arial" w:cs="Arial"/>
                <w:color w:val="000000"/>
              </w:rPr>
              <w:t>2005</w:t>
            </w:r>
            <w:r w:rsidR="00193620" w:rsidRPr="009C2331">
              <w:rPr>
                <w:rFonts w:ascii="Arial" w:hAnsi="Arial" w:cs="Arial"/>
              </w:rPr>
              <w:t>–</w:t>
            </w:r>
            <w:r>
              <w:rPr>
                <w:rFonts w:ascii="Arial" w:eastAsia="Times New Roman" w:hAnsi="Arial" w:cs="Arial"/>
                <w:color w:val="000000"/>
              </w:rPr>
              <w:t>2006</w:t>
            </w:r>
          </w:p>
        </w:tc>
        <w:tc>
          <w:tcPr>
            <w:tcW w:w="1283" w:type="dxa"/>
            <w:shd w:val="clear" w:color="000000" w:fill="FFFFFF"/>
            <w:noWrap/>
            <w:vAlign w:val="bottom"/>
          </w:tcPr>
          <w:p w14:paraId="0B75B297"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245.9</w:t>
            </w:r>
          </w:p>
        </w:tc>
        <w:tc>
          <w:tcPr>
            <w:tcW w:w="2003" w:type="dxa"/>
            <w:shd w:val="clear" w:color="000000" w:fill="FFFFFF"/>
            <w:noWrap/>
            <w:vAlign w:val="bottom"/>
          </w:tcPr>
          <w:p w14:paraId="3D511137"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48.6</w:t>
            </w:r>
          </w:p>
        </w:tc>
        <w:tc>
          <w:tcPr>
            <w:tcW w:w="1580" w:type="dxa"/>
            <w:shd w:val="clear" w:color="000000" w:fill="FFFFFF"/>
            <w:noWrap/>
            <w:vAlign w:val="bottom"/>
          </w:tcPr>
          <w:p w14:paraId="6A0E33F5"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$294.5</w:t>
            </w:r>
          </w:p>
        </w:tc>
      </w:tr>
      <w:tr w:rsidR="00AC71BA" w:rsidRPr="0087222C" w14:paraId="0AFF7E01" w14:textId="77777777" w:rsidTr="003A5185">
        <w:trPr>
          <w:trHeight w:val="300"/>
        </w:trPr>
        <w:tc>
          <w:tcPr>
            <w:tcW w:w="4506" w:type="dxa"/>
            <w:shd w:val="clear" w:color="000000" w:fill="FFFFFF"/>
            <w:noWrap/>
            <w:vAlign w:val="bottom"/>
          </w:tcPr>
          <w:p w14:paraId="2AA28E5C" w14:textId="4DB4A5AA" w:rsidR="00AC71BA" w:rsidRPr="0087222C" w:rsidRDefault="00AC71BA" w:rsidP="003A5185">
            <w:pPr>
              <w:rPr>
                <w:rFonts w:ascii="Arial" w:eastAsia="Times New Roman" w:hAnsi="Arial" w:cs="Arial"/>
                <w:color w:val="000000"/>
              </w:rPr>
            </w:pPr>
            <w:r>
              <w:rPr>
                <w:rFonts w:ascii="Arial" w:eastAsia="Times New Roman" w:hAnsi="Arial" w:cs="Arial"/>
                <w:color w:val="000000"/>
              </w:rPr>
              <w:t>2006</w:t>
            </w:r>
            <w:r w:rsidR="00193620" w:rsidRPr="009C2331">
              <w:rPr>
                <w:rFonts w:ascii="Arial" w:hAnsi="Arial" w:cs="Arial"/>
              </w:rPr>
              <w:t>–</w:t>
            </w:r>
            <w:r>
              <w:rPr>
                <w:rFonts w:ascii="Arial" w:eastAsia="Times New Roman" w:hAnsi="Arial" w:cs="Arial"/>
                <w:color w:val="000000"/>
              </w:rPr>
              <w:t>2007</w:t>
            </w:r>
          </w:p>
        </w:tc>
        <w:tc>
          <w:tcPr>
            <w:tcW w:w="1283" w:type="dxa"/>
            <w:shd w:val="clear" w:color="000000" w:fill="FFFFFF"/>
            <w:noWrap/>
            <w:vAlign w:val="bottom"/>
          </w:tcPr>
          <w:p w14:paraId="393C2614"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275.0</w:t>
            </w:r>
          </w:p>
        </w:tc>
        <w:tc>
          <w:tcPr>
            <w:tcW w:w="2003" w:type="dxa"/>
            <w:shd w:val="clear" w:color="000000" w:fill="FFFFFF"/>
            <w:noWrap/>
            <w:vAlign w:val="bottom"/>
          </w:tcPr>
          <w:p w14:paraId="538DB21E"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50.6</w:t>
            </w:r>
          </w:p>
        </w:tc>
        <w:tc>
          <w:tcPr>
            <w:tcW w:w="1580" w:type="dxa"/>
            <w:shd w:val="clear" w:color="000000" w:fill="FFFFFF"/>
            <w:noWrap/>
            <w:vAlign w:val="bottom"/>
          </w:tcPr>
          <w:p w14:paraId="7DF71577"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$325.6</w:t>
            </w:r>
          </w:p>
        </w:tc>
      </w:tr>
      <w:tr w:rsidR="00AC71BA" w:rsidRPr="0087222C" w14:paraId="65A08351" w14:textId="77777777" w:rsidTr="003A5185">
        <w:trPr>
          <w:trHeight w:val="300"/>
        </w:trPr>
        <w:tc>
          <w:tcPr>
            <w:tcW w:w="4506" w:type="dxa"/>
            <w:shd w:val="clear" w:color="000000" w:fill="FFFFFF"/>
            <w:noWrap/>
            <w:vAlign w:val="bottom"/>
          </w:tcPr>
          <w:p w14:paraId="0691A4F0" w14:textId="2592418A" w:rsidR="00AC71BA" w:rsidRPr="0087222C" w:rsidRDefault="00AC71BA" w:rsidP="003A5185">
            <w:pPr>
              <w:rPr>
                <w:rFonts w:ascii="Arial" w:eastAsia="Times New Roman" w:hAnsi="Arial" w:cs="Arial"/>
                <w:color w:val="000000"/>
              </w:rPr>
            </w:pPr>
            <w:r>
              <w:rPr>
                <w:rFonts w:ascii="Arial" w:eastAsia="Times New Roman" w:hAnsi="Arial" w:cs="Arial"/>
                <w:color w:val="000000"/>
              </w:rPr>
              <w:t>2007</w:t>
            </w:r>
            <w:r w:rsidR="00193620" w:rsidRPr="009C2331">
              <w:rPr>
                <w:rFonts w:ascii="Arial" w:hAnsi="Arial" w:cs="Arial"/>
              </w:rPr>
              <w:t>–</w:t>
            </w:r>
            <w:r>
              <w:rPr>
                <w:rFonts w:ascii="Arial" w:eastAsia="Times New Roman" w:hAnsi="Arial" w:cs="Arial"/>
                <w:color w:val="000000"/>
              </w:rPr>
              <w:t>2008</w:t>
            </w:r>
          </w:p>
        </w:tc>
        <w:tc>
          <w:tcPr>
            <w:tcW w:w="1283" w:type="dxa"/>
            <w:shd w:val="clear" w:color="000000" w:fill="FFFFFF"/>
            <w:noWrap/>
            <w:vAlign w:val="bottom"/>
          </w:tcPr>
          <w:p w14:paraId="1C7143FC"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304.9</w:t>
            </w:r>
          </w:p>
        </w:tc>
        <w:tc>
          <w:tcPr>
            <w:tcW w:w="2003" w:type="dxa"/>
            <w:shd w:val="clear" w:color="000000" w:fill="FFFFFF"/>
            <w:noWrap/>
            <w:vAlign w:val="bottom"/>
          </w:tcPr>
          <w:p w14:paraId="4049E83F"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52.5</w:t>
            </w:r>
          </w:p>
        </w:tc>
        <w:tc>
          <w:tcPr>
            <w:tcW w:w="1580" w:type="dxa"/>
            <w:shd w:val="clear" w:color="000000" w:fill="FFFFFF"/>
            <w:noWrap/>
            <w:vAlign w:val="bottom"/>
          </w:tcPr>
          <w:p w14:paraId="6E5FA096"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$357.4</w:t>
            </w:r>
          </w:p>
        </w:tc>
      </w:tr>
      <w:tr w:rsidR="00AC71BA" w:rsidRPr="0087222C" w14:paraId="05A1305B" w14:textId="77777777" w:rsidTr="003A5185">
        <w:trPr>
          <w:trHeight w:val="300"/>
        </w:trPr>
        <w:tc>
          <w:tcPr>
            <w:tcW w:w="4506" w:type="dxa"/>
            <w:shd w:val="clear" w:color="000000" w:fill="FFFFFF"/>
            <w:noWrap/>
            <w:vAlign w:val="bottom"/>
            <w:hideMark/>
          </w:tcPr>
          <w:p w14:paraId="59DA98C2"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2008</w:t>
            </w:r>
            <w:r w:rsidRPr="0087222C">
              <w:rPr>
                <w:rFonts w:ascii="Arial" w:hAnsi="Arial" w:cs="Arial"/>
              </w:rPr>
              <w:t>–</w:t>
            </w:r>
            <w:r w:rsidRPr="0087222C">
              <w:rPr>
                <w:rFonts w:ascii="Arial" w:eastAsia="Times New Roman" w:hAnsi="Arial" w:cs="Arial"/>
                <w:color w:val="000000"/>
              </w:rPr>
              <w:t>2009</w:t>
            </w:r>
          </w:p>
        </w:tc>
        <w:tc>
          <w:tcPr>
            <w:tcW w:w="1283" w:type="dxa"/>
            <w:shd w:val="clear" w:color="000000" w:fill="FFFFFF"/>
            <w:noWrap/>
            <w:vAlign w:val="bottom"/>
            <w:hideMark/>
          </w:tcPr>
          <w:p w14:paraId="32233E9E"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349.6</w:t>
            </w:r>
          </w:p>
        </w:tc>
        <w:tc>
          <w:tcPr>
            <w:tcW w:w="2003" w:type="dxa"/>
            <w:shd w:val="clear" w:color="000000" w:fill="FFFFFF"/>
            <w:noWrap/>
            <w:vAlign w:val="bottom"/>
            <w:hideMark/>
          </w:tcPr>
          <w:p w14:paraId="0D25FBB5"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75.5</w:t>
            </w:r>
          </w:p>
        </w:tc>
        <w:tc>
          <w:tcPr>
            <w:tcW w:w="1580" w:type="dxa"/>
            <w:shd w:val="clear" w:color="000000" w:fill="FFFFFF"/>
            <w:noWrap/>
            <w:vAlign w:val="bottom"/>
            <w:hideMark/>
          </w:tcPr>
          <w:p w14:paraId="05360D19"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$425.1</w:t>
            </w:r>
          </w:p>
        </w:tc>
      </w:tr>
      <w:tr w:rsidR="00AC71BA" w:rsidRPr="0087222C" w14:paraId="73510667" w14:textId="77777777" w:rsidTr="003A5185">
        <w:trPr>
          <w:trHeight w:val="300"/>
        </w:trPr>
        <w:tc>
          <w:tcPr>
            <w:tcW w:w="4506" w:type="dxa"/>
            <w:shd w:val="clear" w:color="000000" w:fill="FFFFFF"/>
            <w:noWrap/>
            <w:vAlign w:val="bottom"/>
            <w:hideMark/>
          </w:tcPr>
          <w:p w14:paraId="13C8D659"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2009</w:t>
            </w:r>
            <w:r w:rsidRPr="0087222C">
              <w:rPr>
                <w:rFonts w:ascii="Arial" w:hAnsi="Arial" w:cs="Arial"/>
              </w:rPr>
              <w:t>–</w:t>
            </w:r>
            <w:r w:rsidRPr="0087222C">
              <w:rPr>
                <w:rFonts w:ascii="Arial" w:eastAsia="Times New Roman" w:hAnsi="Arial" w:cs="Arial"/>
                <w:color w:val="000000"/>
              </w:rPr>
              <w:t>2010</w:t>
            </w:r>
          </w:p>
        </w:tc>
        <w:tc>
          <w:tcPr>
            <w:tcW w:w="1283" w:type="dxa"/>
            <w:shd w:val="clear" w:color="000000" w:fill="FFFFFF"/>
            <w:noWrap/>
            <w:vAlign w:val="bottom"/>
            <w:hideMark/>
          </w:tcPr>
          <w:p w14:paraId="1AD3CC28"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391.9</w:t>
            </w:r>
          </w:p>
        </w:tc>
        <w:tc>
          <w:tcPr>
            <w:tcW w:w="2003" w:type="dxa"/>
            <w:shd w:val="clear" w:color="000000" w:fill="FFFFFF"/>
            <w:noWrap/>
            <w:vAlign w:val="bottom"/>
            <w:hideMark/>
          </w:tcPr>
          <w:p w14:paraId="4A4BDA5F"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77.6</w:t>
            </w:r>
          </w:p>
        </w:tc>
        <w:tc>
          <w:tcPr>
            <w:tcW w:w="1580" w:type="dxa"/>
            <w:shd w:val="clear" w:color="000000" w:fill="FFFFFF"/>
            <w:noWrap/>
            <w:vAlign w:val="bottom"/>
            <w:hideMark/>
          </w:tcPr>
          <w:p w14:paraId="5B053F0F"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$469.5</w:t>
            </w:r>
          </w:p>
        </w:tc>
      </w:tr>
      <w:tr w:rsidR="00AC71BA" w:rsidRPr="0087222C" w14:paraId="0E217617" w14:textId="77777777" w:rsidTr="003A5185">
        <w:trPr>
          <w:trHeight w:val="300"/>
        </w:trPr>
        <w:tc>
          <w:tcPr>
            <w:tcW w:w="4506" w:type="dxa"/>
            <w:shd w:val="clear" w:color="000000" w:fill="FFFFFF"/>
            <w:noWrap/>
            <w:vAlign w:val="bottom"/>
            <w:hideMark/>
          </w:tcPr>
          <w:p w14:paraId="066F8319" w14:textId="77777777" w:rsidR="00AC71BA" w:rsidRPr="0087222C" w:rsidRDefault="00AC71BA" w:rsidP="003A5185">
            <w:pPr>
              <w:rPr>
                <w:rFonts w:ascii="Arial" w:eastAsia="Times New Roman" w:hAnsi="Arial" w:cs="Arial"/>
              </w:rPr>
            </w:pPr>
            <w:r w:rsidRPr="0087222C">
              <w:rPr>
                <w:rFonts w:ascii="Arial" w:eastAsia="Times New Roman" w:hAnsi="Arial" w:cs="Arial"/>
              </w:rPr>
              <w:t>2010</w:t>
            </w:r>
            <w:r w:rsidRPr="0087222C">
              <w:rPr>
                <w:rFonts w:ascii="Arial" w:hAnsi="Arial" w:cs="Arial"/>
              </w:rPr>
              <w:t>–</w:t>
            </w:r>
            <w:r w:rsidRPr="0087222C">
              <w:rPr>
                <w:rFonts w:ascii="Arial" w:eastAsia="Times New Roman" w:hAnsi="Arial" w:cs="Arial"/>
              </w:rPr>
              <w:t xml:space="preserve">2011 </w:t>
            </w:r>
          </w:p>
        </w:tc>
        <w:tc>
          <w:tcPr>
            <w:tcW w:w="1283" w:type="dxa"/>
            <w:shd w:val="clear" w:color="000000" w:fill="FFFFFF"/>
            <w:noWrap/>
            <w:vAlign w:val="bottom"/>
            <w:hideMark/>
          </w:tcPr>
          <w:p w14:paraId="7F051C49"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434.4</w:t>
            </w:r>
          </w:p>
        </w:tc>
        <w:tc>
          <w:tcPr>
            <w:tcW w:w="2003" w:type="dxa"/>
            <w:shd w:val="clear" w:color="000000" w:fill="FFFFFF"/>
            <w:noWrap/>
            <w:vAlign w:val="bottom"/>
            <w:hideMark/>
          </w:tcPr>
          <w:p w14:paraId="021B244B"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94.4</w:t>
            </w:r>
          </w:p>
        </w:tc>
        <w:tc>
          <w:tcPr>
            <w:tcW w:w="1580" w:type="dxa"/>
            <w:shd w:val="clear" w:color="000000" w:fill="FFFFFF"/>
            <w:noWrap/>
            <w:vAlign w:val="bottom"/>
            <w:hideMark/>
          </w:tcPr>
          <w:p w14:paraId="664C09D1"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$528.8</w:t>
            </w:r>
          </w:p>
        </w:tc>
      </w:tr>
      <w:tr w:rsidR="00AC71BA" w:rsidRPr="0087222C" w14:paraId="71981F18" w14:textId="77777777" w:rsidTr="003A5185">
        <w:trPr>
          <w:trHeight w:val="300"/>
        </w:trPr>
        <w:tc>
          <w:tcPr>
            <w:tcW w:w="4506" w:type="dxa"/>
            <w:shd w:val="clear" w:color="auto" w:fill="auto"/>
            <w:noWrap/>
            <w:vAlign w:val="bottom"/>
            <w:hideMark/>
          </w:tcPr>
          <w:p w14:paraId="34BC0EB2"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2011</w:t>
            </w:r>
            <w:r w:rsidRPr="0087222C">
              <w:rPr>
                <w:rFonts w:ascii="Arial" w:hAnsi="Arial" w:cs="Arial"/>
              </w:rPr>
              <w:t>–</w:t>
            </w:r>
            <w:r w:rsidRPr="0087222C">
              <w:rPr>
                <w:rFonts w:ascii="Arial" w:eastAsia="Times New Roman" w:hAnsi="Arial" w:cs="Arial"/>
                <w:color w:val="000000"/>
              </w:rPr>
              <w:t>2012</w:t>
            </w:r>
          </w:p>
        </w:tc>
        <w:tc>
          <w:tcPr>
            <w:tcW w:w="1283" w:type="dxa"/>
            <w:shd w:val="clear" w:color="auto" w:fill="auto"/>
            <w:noWrap/>
            <w:vAlign w:val="bottom"/>
            <w:hideMark/>
          </w:tcPr>
          <w:p w14:paraId="2D8CA14D"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533.6</w:t>
            </w:r>
          </w:p>
        </w:tc>
        <w:tc>
          <w:tcPr>
            <w:tcW w:w="2003" w:type="dxa"/>
            <w:shd w:val="clear" w:color="auto" w:fill="auto"/>
            <w:noWrap/>
            <w:vAlign w:val="bottom"/>
            <w:hideMark/>
          </w:tcPr>
          <w:p w14:paraId="0714CA43"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110.3</w:t>
            </w:r>
          </w:p>
        </w:tc>
        <w:tc>
          <w:tcPr>
            <w:tcW w:w="1580" w:type="dxa"/>
            <w:shd w:val="clear" w:color="auto" w:fill="auto"/>
            <w:noWrap/>
            <w:vAlign w:val="bottom"/>
            <w:hideMark/>
          </w:tcPr>
          <w:p w14:paraId="43A02429" w14:textId="77777777" w:rsidR="00AC71BA" w:rsidRPr="00712190" w:rsidRDefault="00AC71BA" w:rsidP="003A5185">
            <w:pPr>
              <w:rPr>
                <w:rFonts w:ascii="Arial" w:eastAsia="Times New Roman" w:hAnsi="Arial" w:cs="Arial"/>
                <w:color w:val="000000"/>
              </w:rPr>
            </w:pPr>
            <w:r w:rsidRPr="00712190">
              <w:rPr>
                <w:rFonts w:ascii="Arial" w:eastAsia="Times New Roman" w:hAnsi="Arial" w:cs="Arial"/>
                <w:color w:val="000000"/>
              </w:rPr>
              <w:t>$643.9</w:t>
            </w:r>
          </w:p>
        </w:tc>
      </w:tr>
      <w:tr w:rsidR="00AC71BA" w:rsidRPr="0087222C" w14:paraId="482B36B5" w14:textId="77777777" w:rsidTr="003A5185">
        <w:trPr>
          <w:trHeight w:val="300"/>
        </w:trPr>
        <w:tc>
          <w:tcPr>
            <w:tcW w:w="4506" w:type="dxa"/>
            <w:shd w:val="clear" w:color="auto" w:fill="auto"/>
            <w:noWrap/>
            <w:vAlign w:val="bottom"/>
            <w:hideMark/>
          </w:tcPr>
          <w:p w14:paraId="73EDD2A1"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2012</w:t>
            </w:r>
            <w:r w:rsidRPr="0087222C">
              <w:rPr>
                <w:rFonts w:ascii="Arial" w:hAnsi="Arial" w:cs="Arial"/>
              </w:rPr>
              <w:t>–</w:t>
            </w:r>
            <w:r w:rsidRPr="0087222C">
              <w:rPr>
                <w:rFonts w:ascii="Arial" w:eastAsia="Times New Roman" w:hAnsi="Arial" w:cs="Arial"/>
                <w:color w:val="000000"/>
              </w:rPr>
              <w:t xml:space="preserve">2013 </w:t>
            </w:r>
          </w:p>
        </w:tc>
        <w:tc>
          <w:tcPr>
            <w:tcW w:w="1283" w:type="dxa"/>
            <w:shd w:val="clear" w:color="auto" w:fill="auto"/>
            <w:noWrap/>
            <w:vAlign w:val="bottom"/>
            <w:hideMark/>
          </w:tcPr>
          <w:p w14:paraId="05B64E85"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579.2</w:t>
            </w:r>
          </w:p>
        </w:tc>
        <w:tc>
          <w:tcPr>
            <w:tcW w:w="2003" w:type="dxa"/>
            <w:shd w:val="clear" w:color="auto" w:fill="auto"/>
            <w:noWrap/>
            <w:vAlign w:val="bottom"/>
            <w:hideMark/>
          </w:tcPr>
          <w:p w14:paraId="3DEF0AAD"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126.7</w:t>
            </w:r>
          </w:p>
        </w:tc>
        <w:tc>
          <w:tcPr>
            <w:tcW w:w="1580" w:type="dxa"/>
            <w:shd w:val="clear" w:color="auto" w:fill="auto"/>
            <w:noWrap/>
            <w:vAlign w:val="bottom"/>
            <w:hideMark/>
          </w:tcPr>
          <w:p w14:paraId="167957D5"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$705.9</w:t>
            </w:r>
          </w:p>
        </w:tc>
      </w:tr>
      <w:tr w:rsidR="00AC71BA" w:rsidRPr="0087222C" w14:paraId="78F05EC1" w14:textId="77777777" w:rsidTr="003A5185">
        <w:trPr>
          <w:trHeight w:val="300"/>
        </w:trPr>
        <w:tc>
          <w:tcPr>
            <w:tcW w:w="4506" w:type="dxa"/>
            <w:shd w:val="clear" w:color="auto" w:fill="auto"/>
            <w:noWrap/>
            <w:vAlign w:val="bottom"/>
            <w:hideMark/>
          </w:tcPr>
          <w:p w14:paraId="3CDE9DAA"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2013</w:t>
            </w:r>
            <w:r w:rsidRPr="0087222C">
              <w:rPr>
                <w:rFonts w:ascii="Arial" w:hAnsi="Arial" w:cs="Arial"/>
              </w:rPr>
              <w:t>–</w:t>
            </w:r>
            <w:r w:rsidRPr="0087222C">
              <w:rPr>
                <w:rFonts w:ascii="Arial" w:eastAsia="Times New Roman" w:hAnsi="Arial" w:cs="Arial"/>
                <w:color w:val="000000"/>
              </w:rPr>
              <w:t>2014 estimated actual</w:t>
            </w:r>
          </w:p>
        </w:tc>
        <w:tc>
          <w:tcPr>
            <w:tcW w:w="1283" w:type="dxa"/>
            <w:shd w:val="clear" w:color="auto" w:fill="auto"/>
            <w:noWrap/>
            <w:vAlign w:val="bottom"/>
            <w:hideMark/>
          </w:tcPr>
          <w:p w14:paraId="4353496A"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640.7</w:t>
            </w:r>
          </w:p>
        </w:tc>
        <w:tc>
          <w:tcPr>
            <w:tcW w:w="2003" w:type="dxa"/>
            <w:shd w:val="clear" w:color="auto" w:fill="auto"/>
            <w:noWrap/>
            <w:vAlign w:val="bottom"/>
            <w:hideMark/>
          </w:tcPr>
          <w:p w14:paraId="6D344C5C"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145.9</w:t>
            </w:r>
          </w:p>
        </w:tc>
        <w:tc>
          <w:tcPr>
            <w:tcW w:w="1580" w:type="dxa"/>
            <w:shd w:val="clear" w:color="auto" w:fill="auto"/>
            <w:noWrap/>
            <w:vAlign w:val="bottom"/>
            <w:hideMark/>
          </w:tcPr>
          <w:p w14:paraId="0A6251FF" w14:textId="77777777" w:rsidR="00AC71BA" w:rsidRPr="0087222C" w:rsidRDefault="00AC71BA" w:rsidP="003A5185">
            <w:pPr>
              <w:rPr>
                <w:rFonts w:ascii="Arial" w:eastAsia="Times New Roman" w:hAnsi="Arial" w:cs="Arial"/>
                <w:color w:val="000000"/>
              </w:rPr>
            </w:pPr>
            <w:r w:rsidRPr="0087222C">
              <w:rPr>
                <w:rFonts w:ascii="Arial" w:eastAsia="Times New Roman" w:hAnsi="Arial" w:cs="Arial"/>
                <w:color w:val="000000"/>
              </w:rPr>
              <w:t>$786.6</w:t>
            </w:r>
          </w:p>
        </w:tc>
      </w:tr>
      <w:tr w:rsidR="00AC71BA" w:rsidRPr="0087222C" w14:paraId="3F4A8F62" w14:textId="77777777" w:rsidTr="003A5185">
        <w:trPr>
          <w:trHeight w:val="300"/>
        </w:trPr>
        <w:tc>
          <w:tcPr>
            <w:tcW w:w="4506" w:type="dxa"/>
            <w:shd w:val="clear" w:color="auto" w:fill="auto"/>
            <w:noWrap/>
            <w:vAlign w:val="bottom"/>
          </w:tcPr>
          <w:p w14:paraId="386FF804" w14:textId="77777777" w:rsidR="00AC71BA" w:rsidRPr="0087222C" w:rsidRDefault="00AC71BA" w:rsidP="003A5185">
            <w:pPr>
              <w:rPr>
                <w:rFonts w:ascii="Arial" w:eastAsia="Times New Roman" w:hAnsi="Arial" w:cs="Arial"/>
              </w:rPr>
            </w:pPr>
            <w:r w:rsidRPr="0087222C">
              <w:rPr>
                <w:rFonts w:ascii="Arial" w:eastAsia="Times New Roman" w:hAnsi="Arial" w:cs="Arial"/>
              </w:rPr>
              <w:t>2014</w:t>
            </w:r>
            <w:r w:rsidRPr="0087222C">
              <w:rPr>
                <w:rFonts w:ascii="Arial" w:hAnsi="Arial" w:cs="Arial"/>
              </w:rPr>
              <w:t>–</w:t>
            </w:r>
            <w:r w:rsidRPr="0087222C">
              <w:rPr>
                <w:rFonts w:ascii="Arial" w:eastAsia="Times New Roman" w:hAnsi="Arial" w:cs="Arial"/>
              </w:rPr>
              <w:t>2015 Budget estimate</w:t>
            </w:r>
          </w:p>
        </w:tc>
        <w:tc>
          <w:tcPr>
            <w:tcW w:w="1283" w:type="dxa"/>
            <w:shd w:val="clear" w:color="auto" w:fill="auto"/>
            <w:noWrap/>
            <w:vAlign w:val="bottom"/>
          </w:tcPr>
          <w:p w14:paraId="3A8A8C7E" w14:textId="77777777" w:rsidR="00AC71BA" w:rsidRPr="0087222C" w:rsidRDefault="00AC71BA" w:rsidP="003A5185">
            <w:pPr>
              <w:rPr>
                <w:rFonts w:ascii="Arial" w:eastAsia="Times New Roman" w:hAnsi="Arial" w:cs="Arial"/>
              </w:rPr>
            </w:pPr>
            <w:r w:rsidRPr="0087222C">
              <w:rPr>
                <w:rFonts w:ascii="Arial" w:eastAsia="Times New Roman" w:hAnsi="Arial" w:cs="Arial"/>
              </w:rPr>
              <w:t>693.5</w:t>
            </w:r>
          </w:p>
        </w:tc>
        <w:tc>
          <w:tcPr>
            <w:tcW w:w="2003" w:type="dxa"/>
            <w:shd w:val="clear" w:color="auto" w:fill="auto"/>
            <w:noWrap/>
            <w:vAlign w:val="bottom"/>
          </w:tcPr>
          <w:p w14:paraId="703C8BD9" w14:textId="77777777" w:rsidR="00AC71BA" w:rsidRPr="0087222C" w:rsidRDefault="00AC71BA" w:rsidP="003A5185">
            <w:pPr>
              <w:rPr>
                <w:rFonts w:ascii="Arial" w:eastAsia="Times New Roman" w:hAnsi="Arial" w:cs="Arial"/>
              </w:rPr>
            </w:pPr>
            <w:r w:rsidRPr="0087222C">
              <w:rPr>
                <w:rFonts w:ascii="Arial" w:eastAsia="Times New Roman" w:hAnsi="Arial" w:cs="Arial"/>
              </w:rPr>
              <w:t>166.3</w:t>
            </w:r>
          </w:p>
        </w:tc>
        <w:tc>
          <w:tcPr>
            <w:tcW w:w="1580" w:type="dxa"/>
            <w:shd w:val="clear" w:color="auto" w:fill="auto"/>
            <w:noWrap/>
            <w:vAlign w:val="bottom"/>
          </w:tcPr>
          <w:p w14:paraId="5DCDE802" w14:textId="77777777" w:rsidR="00AC71BA" w:rsidRPr="0087222C" w:rsidRDefault="00AC71BA" w:rsidP="003A5185">
            <w:pPr>
              <w:rPr>
                <w:rFonts w:ascii="Arial" w:eastAsia="Times New Roman" w:hAnsi="Arial" w:cs="Arial"/>
              </w:rPr>
            </w:pPr>
            <w:r w:rsidRPr="0087222C">
              <w:rPr>
                <w:rFonts w:ascii="Arial" w:eastAsia="Times New Roman" w:hAnsi="Arial" w:cs="Arial"/>
              </w:rPr>
              <w:t>$859.8</w:t>
            </w:r>
          </w:p>
        </w:tc>
      </w:tr>
    </w:tbl>
    <w:p w14:paraId="5D392C4E" w14:textId="77777777" w:rsidR="00610D0F" w:rsidRDefault="00610D0F" w:rsidP="00315175">
      <w:pPr>
        <w:rPr>
          <w:rFonts w:ascii="Arial" w:hAnsi="Arial" w:cs="Arial"/>
          <w:b/>
          <w:sz w:val="28"/>
          <w:szCs w:val="28"/>
        </w:rPr>
      </w:pPr>
    </w:p>
    <w:p w14:paraId="54D30DB8" w14:textId="77777777" w:rsidR="00610D0F" w:rsidRDefault="00610D0F" w:rsidP="00315175">
      <w:pPr>
        <w:rPr>
          <w:rFonts w:ascii="Arial" w:hAnsi="Arial" w:cs="Arial"/>
          <w:b/>
          <w:sz w:val="28"/>
          <w:szCs w:val="28"/>
        </w:rPr>
      </w:pPr>
    </w:p>
    <w:p w14:paraId="4076A1BB" w14:textId="77777777" w:rsidR="00315175" w:rsidRPr="00315175" w:rsidRDefault="00315175" w:rsidP="00AC71BA">
      <w:pPr>
        <w:outlineLvl w:val="0"/>
        <w:rPr>
          <w:rFonts w:ascii="Arial" w:hAnsi="Arial" w:cs="Arial"/>
          <w:b/>
          <w:sz w:val="28"/>
          <w:szCs w:val="28"/>
        </w:rPr>
      </w:pPr>
      <w:r w:rsidRPr="00315175">
        <w:rPr>
          <w:rFonts w:ascii="Arial" w:hAnsi="Arial" w:cs="Arial"/>
          <w:b/>
          <w:sz w:val="28"/>
          <w:szCs w:val="28"/>
        </w:rPr>
        <w:t>Disability justice centres</w:t>
      </w:r>
    </w:p>
    <w:p w14:paraId="22275043" w14:textId="77777777" w:rsidR="00315175" w:rsidRPr="00315175" w:rsidRDefault="00315175" w:rsidP="00315175">
      <w:pPr>
        <w:rPr>
          <w:rFonts w:ascii="Arial" w:hAnsi="Arial" w:cs="Arial"/>
        </w:rPr>
      </w:pPr>
      <w:r w:rsidRPr="00315175">
        <w:rPr>
          <w:rFonts w:ascii="Arial" w:hAnsi="Arial" w:cs="Arial"/>
        </w:rPr>
        <w:t xml:space="preserve">Another key project supported by this year’s Budget is the construction of WA’s first disability justice centre, to be built in Caversham (on the border of Lockridge), and the ongoing implementation of a prison in-reach service. The disability justice centre will accommodate up to 10 people with intellectual or cognitive disability who have been charged with an offence but, because they are not able to understand the court process, have been deemed unfit to plea. The Mentally Impaired Accused Review Board will decide who will live in the centre, which is expected to open in May/June 2015. </w:t>
      </w:r>
    </w:p>
    <w:p w14:paraId="5B5DC221" w14:textId="77777777" w:rsidR="00315175" w:rsidRDefault="00315175" w:rsidP="00315175">
      <w:pPr>
        <w:rPr>
          <w:rFonts w:ascii="Arial" w:hAnsi="Arial" w:cs="Arial"/>
          <w:b/>
          <w:sz w:val="28"/>
          <w:szCs w:val="28"/>
        </w:rPr>
      </w:pPr>
    </w:p>
    <w:p w14:paraId="593EDF33" w14:textId="77777777" w:rsidR="00315175" w:rsidRPr="00315175" w:rsidRDefault="00315175" w:rsidP="00AC71BA">
      <w:pPr>
        <w:outlineLvl w:val="0"/>
        <w:rPr>
          <w:rFonts w:ascii="Arial" w:hAnsi="Arial" w:cs="Arial"/>
          <w:b/>
          <w:sz w:val="28"/>
          <w:szCs w:val="28"/>
        </w:rPr>
      </w:pPr>
      <w:r w:rsidRPr="00315175">
        <w:rPr>
          <w:rFonts w:ascii="Arial" w:hAnsi="Arial" w:cs="Arial"/>
          <w:b/>
          <w:sz w:val="28"/>
          <w:szCs w:val="28"/>
        </w:rPr>
        <w:t xml:space="preserve">Continence management scheme </w:t>
      </w:r>
    </w:p>
    <w:p w14:paraId="5C057E98" w14:textId="77777777" w:rsidR="00315175" w:rsidRPr="00315175" w:rsidRDefault="00315175" w:rsidP="00315175">
      <w:pPr>
        <w:rPr>
          <w:rFonts w:ascii="Arial" w:hAnsi="Arial" w:cs="Arial"/>
        </w:rPr>
      </w:pPr>
      <w:r w:rsidRPr="00315175">
        <w:rPr>
          <w:rFonts w:ascii="Arial" w:hAnsi="Arial" w:cs="Arial"/>
        </w:rPr>
        <w:t>The WA Government’s Continence Management and Support Scheme (CMASS) has received a one-off $2.5 million funding boost in 2014–2015 to assist people in the waiting list for funding for continence products. Previously new CMASS users could only access funding when an existing user left the scheme – this funding will significantly reduce the number of people waiting for funding.</w:t>
      </w:r>
    </w:p>
    <w:p w14:paraId="36ED4C1F" w14:textId="77777777" w:rsidR="00315175" w:rsidRDefault="00315175" w:rsidP="00315175">
      <w:pPr>
        <w:rPr>
          <w:rFonts w:ascii="Arial" w:hAnsi="Arial" w:cs="Arial"/>
        </w:rPr>
      </w:pPr>
    </w:p>
    <w:p w14:paraId="59D6699B" w14:textId="77777777" w:rsidR="00315175" w:rsidRPr="00315175" w:rsidRDefault="00315175" w:rsidP="00AC71BA">
      <w:pPr>
        <w:outlineLvl w:val="0"/>
        <w:rPr>
          <w:rFonts w:ascii="Arial" w:hAnsi="Arial" w:cs="Arial"/>
          <w:b/>
          <w:sz w:val="32"/>
          <w:szCs w:val="32"/>
        </w:rPr>
      </w:pPr>
      <w:r w:rsidRPr="00315175">
        <w:rPr>
          <w:rFonts w:ascii="Arial" w:hAnsi="Arial" w:cs="Arial"/>
          <w:b/>
          <w:sz w:val="32"/>
          <w:szCs w:val="32"/>
        </w:rPr>
        <w:t>Election commitment</w:t>
      </w:r>
    </w:p>
    <w:p w14:paraId="01F33E6A" w14:textId="77777777" w:rsidR="00315175" w:rsidRPr="00315175" w:rsidRDefault="00315175" w:rsidP="00315175">
      <w:pPr>
        <w:rPr>
          <w:rFonts w:ascii="Arial" w:hAnsi="Arial" w:cs="Arial"/>
          <w:b/>
        </w:rPr>
      </w:pPr>
    </w:p>
    <w:p w14:paraId="119E37BA" w14:textId="77777777" w:rsidR="00315175" w:rsidRPr="00315175" w:rsidRDefault="00315175" w:rsidP="00AC71BA">
      <w:pPr>
        <w:outlineLvl w:val="0"/>
        <w:rPr>
          <w:rFonts w:ascii="Arial" w:hAnsi="Arial" w:cs="Arial"/>
          <w:b/>
          <w:sz w:val="28"/>
          <w:szCs w:val="28"/>
        </w:rPr>
      </w:pPr>
      <w:r w:rsidRPr="00315175">
        <w:rPr>
          <w:rFonts w:ascii="Arial" w:hAnsi="Arial" w:cs="Arial"/>
          <w:b/>
          <w:sz w:val="28"/>
          <w:szCs w:val="28"/>
        </w:rPr>
        <w:t>Suitable accommodation for young people</w:t>
      </w:r>
    </w:p>
    <w:p w14:paraId="7DCC9AEE" w14:textId="24AA80B4" w:rsidR="00315175" w:rsidRPr="00315175" w:rsidRDefault="00315175" w:rsidP="00315175">
      <w:pPr>
        <w:rPr>
          <w:rFonts w:ascii="Arial" w:hAnsi="Arial" w:cs="Arial"/>
        </w:rPr>
      </w:pPr>
      <w:r w:rsidRPr="00315175">
        <w:rPr>
          <w:rFonts w:ascii="Arial" w:hAnsi="Arial" w:cs="Arial"/>
        </w:rPr>
        <w:t>In 2013 the State Government committed to support more suitable accommodation services for younger people with disability who are obliged to reside in aged care due to a lack of alternative options. Funding was allocated as part of the 2013 election commitment with expenditure commencing in 2014</w:t>
      </w:r>
      <w:r w:rsidR="00193620" w:rsidRPr="009C2331">
        <w:rPr>
          <w:rFonts w:ascii="Arial" w:hAnsi="Arial" w:cs="Arial"/>
        </w:rPr>
        <w:t>–</w:t>
      </w:r>
      <w:r w:rsidRPr="00315175">
        <w:rPr>
          <w:rFonts w:ascii="Arial" w:hAnsi="Arial" w:cs="Arial"/>
        </w:rPr>
        <w:t>2015. This year the State Government finalised the four year funding arrangement, providing $3 million for expenditure in 2017</w:t>
      </w:r>
      <w:r w:rsidR="00193620" w:rsidRPr="009C2331">
        <w:rPr>
          <w:rFonts w:ascii="Arial" w:hAnsi="Arial" w:cs="Arial"/>
        </w:rPr>
        <w:t>–</w:t>
      </w:r>
      <w:r w:rsidRPr="00315175">
        <w:rPr>
          <w:rFonts w:ascii="Arial" w:hAnsi="Arial" w:cs="Arial"/>
        </w:rPr>
        <w:t xml:space="preserve">2018 for this initiative. The funding will provide purpose-built housing or enhance support arrangements for younger people with disability. The initiative will ensure young people with disability are better able to access living arrangements that meet their needs through the delivery of better whole-of-life outcomes, services and supports for the individual. </w:t>
      </w:r>
      <w:bookmarkStart w:id="0" w:name="_GoBack"/>
      <w:bookmarkEnd w:id="0"/>
    </w:p>
    <w:p w14:paraId="49FD4A99" w14:textId="77777777" w:rsidR="004911FF" w:rsidRDefault="004911FF" w:rsidP="00315175">
      <w:pPr>
        <w:rPr>
          <w:rFonts w:ascii="Arial" w:hAnsi="Arial" w:cs="Arial"/>
        </w:rPr>
      </w:pPr>
    </w:p>
    <w:p w14:paraId="2D609DCA" w14:textId="77777777" w:rsidR="00315175" w:rsidRPr="004911FF" w:rsidRDefault="00315175" w:rsidP="00AC71BA">
      <w:pPr>
        <w:outlineLvl w:val="0"/>
        <w:rPr>
          <w:rFonts w:ascii="Arial" w:hAnsi="Arial" w:cs="Arial"/>
          <w:b/>
          <w:sz w:val="32"/>
          <w:szCs w:val="32"/>
        </w:rPr>
      </w:pPr>
      <w:r w:rsidRPr="004911FF">
        <w:rPr>
          <w:rFonts w:ascii="Arial" w:hAnsi="Arial" w:cs="Arial"/>
          <w:b/>
          <w:sz w:val="32"/>
          <w:szCs w:val="32"/>
        </w:rPr>
        <w:t>Allocation of general growth funds</w:t>
      </w:r>
    </w:p>
    <w:p w14:paraId="1523B051" w14:textId="77777777" w:rsidR="004911FF" w:rsidRDefault="004911FF" w:rsidP="00315175">
      <w:pPr>
        <w:rPr>
          <w:rFonts w:ascii="Arial" w:hAnsi="Arial" w:cs="Arial"/>
        </w:rPr>
      </w:pPr>
    </w:p>
    <w:p w14:paraId="6E9215A3" w14:textId="77777777" w:rsidR="00315175" w:rsidRPr="00315175" w:rsidRDefault="00315175" w:rsidP="00315175">
      <w:pPr>
        <w:rPr>
          <w:rFonts w:ascii="Arial" w:hAnsi="Arial" w:cs="Arial"/>
        </w:rPr>
      </w:pPr>
      <w:r w:rsidRPr="00315175">
        <w:rPr>
          <w:rFonts w:ascii="Arial" w:hAnsi="Arial" w:cs="Arial"/>
        </w:rPr>
        <w:t>In 2014–2015 the Commission will receive $29.4 million in general growth funding which includes $25.3 million from the State Government and $4.1 million in growth from the Commonwealth Government. Growth funding refers to additional resources provided by government to meet expected increases in demand for general services and is used to support people who have not yet received funded services or who require additional services. The funding for the implementation of the WA National Disability Insurance Scheme (NDIS) My Way trial sites is provided in addition to this general growth funding.</w:t>
      </w:r>
    </w:p>
    <w:p w14:paraId="13181158" w14:textId="77777777" w:rsidR="00315175" w:rsidRDefault="00315175" w:rsidP="00315175">
      <w:pPr>
        <w:rPr>
          <w:rFonts w:ascii="Arial" w:hAnsi="Arial" w:cs="Arial"/>
        </w:rPr>
      </w:pPr>
    </w:p>
    <w:p w14:paraId="75550473" w14:textId="77777777" w:rsidR="00315175" w:rsidRPr="00315175" w:rsidRDefault="00315175" w:rsidP="00315175">
      <w:pPr>
        <w:rPr>
          <w:rFonts w:ascii="Arial" w:hAnsi="Arial" w:cs="Arial"/>
        </w:rPr>
      </w:pPr>
      <w:r w:rsidRPr="00315175">
        <w:rPr>
          <w:rFonts w:ascii="Arial" w:hAnsi="Arial" w:cs="Arial"/>
        </w:rPr>
        <w:t>With increased flexibility, choice and control for individuals, there is less emphasis on programs and more emphasis on strategies developed in individual plans. The funding allocation framework now provides broad service parameters for the distribution of growth funds and reflects the pattern of growth to service areas established in the 2013–2014 Budget. The chart below provides a breakdown of 2014–2015 general growth funding by service area.</w:t>
      </w:r>
    </w:p>
    <w:p w14:paraId="6BAE26EC" w14:textId="77777777" w:rsidR="00315175" w:rsidRDefault="00315175" w:rsidP="00315175">
      <w:pPr>
        <w:rPr>
          <w:rFonts w:ascii="Arial" w:hAnsi="Arial" w:cs="Arial"/>
        </w:rPr>
      </w:pPr>
    </w:p>
    <w:p w14:paraId="5998A1E4" w14:textId="77777777" w:rsidR="00315175" w:rsidRPr="00315175" w:rsidRDefault="00315175" w:rsidP="00AC71BA">
      <w:pPr>
        <w:outlineLvl w:val="0"/>
        <w:rPr>
          <w:rFonts w:ascii="Arial" w:hAnsi="Arial" w:cs="Arial"/>
          <w:b/>
          <w:sz w:val="28"/>
          <w:szCs w:val="28"/>
        </w:rPr>
      </w:pPr>
      <w:r w:rsidRPr="00315175">
        <w:rPr>
          <w:rFonts w:ascii="Arial" w:hAnsi="Arial" w:cs="Arial"/>
          <w:b/>
          <w:sz w:val="28"/>
          <w:szCs w:val="28"/>
        </w:rPr>
        <w:t>Accommodation supports</w:t>
      </w:r>
    </w:p>
    <w:p w14:paraId="4F879A3E" w14:textId="77777777" w:rsidR="00315175" w:rsidRPr="00315175" w:rsidRDefault="00315175" w:rsidP="00315175">
      <w:pPr>
        <w:rPr>
          <w:rFonts w:ascii="Arial" w:hAnsi="Arial" w:cs="Arial"/>
        </w:rPr>
      </w:pPr>
      <w:r w:rsidRPr="00315175">
        <w:rPr>
          <w:rFonts w:ascii="Arial" w:hAnsi="Arial" w:cs="Arial"/>
        </w:rPr>
        <w:t>Demand for supported accommodation options for people with disability continues to be high. To support this demand and ensure these services increase, 38 per cent of growth funding has been allocated to this area.</w:t>
      </w:r>
    </w:p>
    <w:p w14:paraId="19E38F4D" w14:textId="77777777" w:rsidR="004911FF" w:rsidRDefault="004911FF" w:rsidP="00315175">
      <w:pPr>
        <w:rPr>
          <w:rFonts w:ascii="Arial" w:hAnsi="Arial" w:cs="Arial"/>
        </w:rPr>
      </w:pPr>
    </w:p>
    <w:p w14:paraId="20352460" w14:textId="77777777" w:rsidR="00315175" w:rsidRPr="004911FF" w:rsidRDefault="00315175" w:rsidP="00AC71BA">
      <w:pPr>
        <w:outlineLvl w:val="0"/>
        <w:rPr>
          <w:rFonts w:ascii="Arial" w:hAnsi="Arial" w:cs="Arial"/>
          <w:b/>
          <w:sz w:val="28"/>
          <w:szCs w:val="28"/>
        </w:rPr>
      </w:pPr>
      <w:r w:rsidRPr="004911FF">
        <w:rPr>
          <w:rFonts w:ascii="Arial" w:hAnsi="Arial" w:cs="Arial"/>
          <w:b/>
          <w:sz w:val="28"/>
          <w:szCs w:val="28"/>
        </w:rPr>
        <w:t xml:space="preserve">Community-focused services </w:t>
      </w:r>
    </w:p>
    <w:p w14:paraId="31C14746" w14:textId="77777777" w:rsidR="00315175" w:rsidRPr="00315175" w:rsidRDefault="00315175" w:rsidP="00315175">
      <w:pPr>
        <w:rPr>
          <w:rFonts w:ascii="Arial" w:hAnsi="Arial" w:cs="Arial"/>
        </w:rPr>
      </w:pPr>
      <w:r w:rsidRPr="00315175">
        <w:rPr>
          <w:rFonts w:ascii="Arial" w:hAnsi="Arial" w:cs="Arial"/>
        </w:rPr>
        <w:t>Community-focused services will receive an allocation of 24 per cent of growth funding. Services in this area to benefit will include support for people to live in the community, programs that provide alternatives to employment and supports for people transitioning from school.</w:t>
      </w:r>
    </w:p>
    <w:p w14:paraId="7FACBD5C" w14:textId="77777777" w:rsidR="004911FF" w:rsidRDefault="004911FF" w:rsidP="00315175">
      <w:pPr>
        <w:rPr>
          <w:rFonts w:ascii="Arial" w:hAnsi="Arial" w:cs="Arial"/>
        </w:rPr>
      </w:pPr>
    </w:p>
    <w:p w14:paraId="5ED81E72" w14:textId="77777777" w:rsidR="00315175" w:rsidRPr="004911FF" w:rsidRDefault="00315175" w:rsidP="00AC71BA">
      <w:pPr>
        <w:outlineLvl w:val="0"/>
        <w:rPr>
          <w:rFonts w:ascii="Arial" w:hAnsi="Arial" w:cs="Arial"/>
          <w:b/>
          <w:sz w:val="28"/>
          <w:szCs w:val="28"/>
        </w:rPr>
      </w:pPr>
      <w:r w:rsidRPr="004911FF">
        <w:rPr>
          <w:rFonts w:ascii="Arial" w:hAnsi="Arial" w:cs="Arial"/>
          <w:b/>
          <w:sz w:val="28"/>
          <w:szCs w:val="28"/>
        </w:rPr>
        <w:t>Coordination and individual support</w:t>
      </w:r>
    </w:p>
    <w:p w14:paraId="2414E956" w14:textId="77777777" w:rsidR="00315175" w:rsidRPr="00315175" w:rsidRDefault="00315175" w:rsidP="00315175">
      <w:pPr>
        <w:rPr>
          <w:rFonts w:ascii="Arial" w:hAnsi="Arial" w:cs="Arial"/>
        </w:rPr>
      </w:pPr>
      <w:r w:rsidRPr="00315175">
        <w:rPr>
          <w:rFonts w:ascii="Arial" w:hAnsi="Arial" w:cs="Arial"/>
        </w:rPr>
        <w:t xml:space="preserve">Coordination and individual support is </w:t>
      </w:r>
      <w:proofErr w:type="gramStart"/>
      <w:r w:rsidRPr="00315175">
        <w:rPr>
          <w:rFonts w:ascii="Arial" w:hAnsi="Arial" w:cs="Arial"/>
        </w:rPr>
        <w:t>key</w:t>
      </w:r>
      <w:proofErr w:type="gramEnd"/>
      <w:r w:rsidRPr="00315175">
        <w:rPr>
          <w:rFonts w:ascii="Arial" w:hAnsi="Arial" w:cs="Arial"/>
        </w:rPr>
        <w:t xml:space="preserve"> to ensuring that people with disability receive the supports and services they need to participate in the community. This effort will receive 27 per cent of the growth funding.</w:t>
      </w:r>
    </w:p>
    <w:p w14:paraId="068A41E1" w14:textId="77777777" w:rsidR="004911FF" w:rsidRDefault="004911FF" w:rsidP="00315175">
      <w:pPr>
        <w:rPr>
          <w:rFonts w:ascii="Arial" w:hAnsi="Arial" w:cs="Arial"/>
        </w:rPr>
      </w:pPr>
    </w:p>
    <w:p w14:paraId="51484DA0" w14:textId="77777777" w:rsidR="00315175" w:rsidRPr="004911FF" w:rsidRDefault="00315175" w:rsidP="00AC71BA">
      <w:pPr>
        <w:outlineLvl w:val="0"/>
        <w:rPr>
          <w:rFonts w:ascii="Arial" w:hAnsi="Arial" w:cs="Arial"/>
          <w:b/>
          <w:sz w:val="28"/>
          <w:szCs w:val="28"/>
        </w:rPr>
      </w:pPr>
      <w:r w:rsidRPr="004911FF">
        <w:rPr>
          <w:rFonts w:ascii="Arial" w:hAnsi="Arial" w:cs="Arial"/>
          <w:b/>
          <w:sz w:val="28"/>
          <w:szCs w:val="28"/>
        </w:rPr>
        <w:t>Family support</w:t>
      </w:r>
    </w:p>
    <w:p w14:paraId="5DD6D49B" w14:textId="77777777" w:rsidR="00315175" w:rsidRPr="00315175" w:rsidRDefault="00315175" w:rsidP="00315175">
      <w:pPr>
        <w:rPr>
          <w:rFonts w:ascii="Arial" w:hAnsi="Arial" w:cs="Arial"/>
        </w:rPr>
      </w:pPr>
      <w:r w:rsidRPr="00315175">
        <w:rPr>
          <w:rFonts w:ascii="Arial" w:hAnsi="Arial" w:cs="Arial"/>
        </w:rPr>
        <w:t>A key focus for the Commission is to ensure people with disability are able to remain with family, and that families are supported in this role. Direct care services, respite and other family supports will receive 11 per cent of the growth funding.</w:t>
      </w:r>
    </w:p>
    <w:p w14:paraId="2DCAC13C" w14:textId="3929BBE1" w:rsidR="00A55ABF" w:rsidRDefault="00A55ABF" w:rsidP="009C2331">
      <w:pPr>
        <w:rPr>
          <w:rFonts w:ascii="Arial" w:hAnsi="Arial" w:cs="Arial"/>
        </w:rPr>
      </w:pPr>
    </w:p>
    <w:p w14:paraId="59FD7107" w14:textId="77777777" w:rsidR="00A11EE6" w:rsidRPr="00A11EE6" w:rsidRDefault="00A11EE6" w:rsidP="00A11EE6">
      <w:pPr>
        <w:rPr>
          <w:rFonts w:ascii="Arial" w:hAnsi="Arial" w:cs="Arial"/>
          <w:b/>
          <w:sz w:val="28"/>
          <w:szCs w:val="28"/>
        </w:rPr>
      </w:pPr>
      <w:r w:rsidRPr="00A11EE6">
        <w:rPr>
          <w:rFonts w:ascii="Arial" w:hAnsi="Arial" w:cs="Arial"/>
          <w:b/>
          <w:sz w:val="28"/>
          <w:szCs w:val="28"/>
        </w:rPr>
        <w:t>Allocation of growth funds</w:t>
      </w:r>
    </w:p>
    <w:p w14:paraId="6AE60E47" w14:textId="7210DF10" w:rsidR="00A11EE6" w:rsidRPr="00A11EE6" w:rsidRDefault="00A11EE6" w:rsidP="00A11EE6">
      <w:pPr>
        <w:pStyle w:val="ListParagraph"/>
        <w:numPr>
          <w:ilvl w:val="0"/>
          <w:numId w:val="11"/>
        </w:numPr>
        <w:rPr>
          <w:rFonts w:ascii="Arial" w:hAnsi="Arial" w:cs="Arial"/>
        </w:rPr>
      </w:pPr>
      <w:r w:rsidRPr="00A11EE6">
        <w:rPr>
          <w:rFonts w:ascii="Arial" w:hAnsi="Arial" w:cs="Arial"/>
        </w:rPr>
        <w:t>Accommodation Supports – 38 per cent</w:t>
      </w:r>
    </w:p>
    <w:p w14:paraId="16BEB9D9" w14:textId="0C4A625A" w:rsidR="00A11EE6" w:rsidRPr="00A11EE6" w:rsidRDefault="00A11EE6" w:rsidP="00A11EE6">
      <w:pPr>
        <w:pStyle w:val="ListParagraph"/>
        <w:numPr>
          <w:ilvl w:val="0"/>
          <w:numId w:val="11"/>
        </w:numPr>
        <w:rPr>
          <w:rFonts w:ascii="Arial" w:hAnsi="Arial" w:cs="Arial"/>
        </w:rPr>
      </w:pPr>
      <w:r w:rsidRPr="00A11EE6">
        <w:rPr>
          <w:rFonts w:ascii="Arial" w:hAnsi="Arial" w:cs="Arial"/>
        </w:rPr>
        <w:t>Community-focused supports – 24 per cent</w:t>
      </w:r>
    </w:p>
    <w:p w14:paraId="2DEC7DA5" w14:textId="1CABBBCA" w:rsidR="00A11EE6" w:rsidRPr="00A11EE6" w:rsidRDefault="00A11EE6" w:rsidP="00A11EE6">
      <w:pPr>
        <w:pStyle w:val="ListParagraph"/>
        <w:numPr>
          <w:ilvl w:val="0"/>
          <w:numId w:val="11"/>
        </w:numPr>
        <w:rPr>
          <w:rFonts w:ascii="Arial" w:hAnsi="Arial" w:cs="Arial"/>
        </w:rPr>
      </w:pPr>
      <w:r w:rsidRPr="00A11EE6">
        <w:rPr>
          <w:rFonts w:ascii="Arial" w:hAnsi="Arial" w:cs="Arial"/>
        </w:rPr>
        <w:t>Coordination and individual support – 27 per cent</w:t>
      </w:r>
    </w:p>
    <w:p w14:paraId="649CE52D" w14:textId="034FE47E" w:rsidR="00A11EE6" w:rsidRPr="00A11EE6" w:rsidRDefault="00A11EE6" w:rsidP="00A11EE6">
      <w:pPr>
        <w:pStyle w:val="ListParagraph"/>
        <w:numPr>
          <w:ilvl w:val="0"/>
          <w:numId w:val="11"/>
        </w:numPr>
        <w:rPr>
          <w:rFonts w:ascii="Arial" w:hAnsi="Arial" w:cs="Arial"/>
        </w:rPr>
      </w:pPr>
      <w:r w:rsidRPr="00A11EE6">
        <w:rPr>
          <w:rFonts w:ascii="Arial" w:hAnsi="Arial" w:cs="Arial"/>
        </w:rPr>
        <w:t>Family Support – 11 per cent</w:t>
      </w:r>
    </w:p>
    <w:p w14:paraId="098490C0" w14:textId="77777777" w:rsidR="00A11EE6" w:rsidRDefault="00A11EE6" w:rsidP="009C2331">
      <w:pPr>
        <w:rPr>
          <w:rFonts w:ascii="Arial" w:hAnsi="Arial" w:cs="Arial"/>
        </w:rPr>
      </w:pPr>
    </w:p>
    <w:p w14:paraId="05D771F6" w14:textId="77777777" w:rsidR="00457641" w:rsidRDefault="00457641" w:rsidP="00457641">
      <w:pPr>
        <w:rPr>
          <w:rFonts w:ascii="Arial" w:hAnsi="Arial" w:cs="Arial"/>
        </w:rPr>
      </w:pPr>
    </w:p>
    <w:p w14:paraId="353B9873" w14:textId="77777777" w:rsidR="00457641" w:rsidRDefault="00457641" w:rsidP="00457641">
      <w:pPr>
        <w:rPr>
          <w:rFonts w:ascii="Arial" w:hAnsi="Arial" w:cs="Arial"/>
        </w:rPr>
      </w:pPr>
    </w:p>
    <w:p w14:paraId="4A544274" w14:textId="77777777" w:rsidR="00457641" w:rsidRDefault="00457641" w:rsidP="00457641">
      <w:pPr>
        <w:rPr>
          <w:rFonts w:ascii="Arial" w:hAnsi="Arial" w:cs="Arial"/>
        </w:rPr>
      </w:pPr>
    </w:p>
    <w:p w14:paraId="1D862B58" w14:textId="77777777" w:rsidR="00457641" w:rsidRDefault="00457641" w:rsidP="00457641">
      <w:pPr>
        <w:rPr>
          <w:rFonts w:ascii="Arial" w:hAnsi="Arial" w:cs="Arial"/>
        </w:rPr>
      </w:pPr>
    </w:p>
    <w:p w14:paraId="3F398238" w14:textId="77777777" w:rsidR="00457641" w:rsidRDefault="00457641" w:rsidP="00457641">
      <w:pPr>
        <w:rPr>
          <w:rFonts w:ascii="Arial" w:hAnsi="Arial" w:cs="Arial"/>
        </w:rPr>
      </w:pPr>
    </w:p>
    <w:p w14:paraId="713A28B0" w14:textId="77777777" w:rsidR="00457641" w:rsidRPr="00457641" w:rsidRDefault="00457641" w:rsidP="00457641">
      <w:pPr>
        <w:rPr>
          <w:rFonts w:ascii="Arial" w:hAnsi="Arial" w:cs="Arial"/>
          <w:b/>
          <w:sz w:val="32"/>
          <w:szCs w:val="32"/>
        </w:rPr>
      </w:pPr>
      <w:r w:rsidRPr="00457641">
        <w:rPr>
          <w:rFonts w:ascii="Arial" w:hAnsi="Arial" w:cs="Arial"/>
          <w:b/>
          <w:sz w:val="32"/>
          <w:szCs w:val="32"/>
        </w:rPr>
        <w:lastRenderedPageBreak/>
        <w:t>Cost of services</w:t>
      </w:r>
    </w:p>
    <w:p w14:paraId="5F37DDA6" w14:textId="77777777" w:rsidR="00457641" w:rsidRPr="00457641" w:rsidRDefault="00457641" w:rsidP="00457641">
      <w:pPr>
        <w:rPr>
          <w:rFonts w:ascii="Arial" w:hAnsi="Arial" w:cs="Arial"/>
        </w:rPr>
      </w:pPr>
      <w:r w:rsidRPr="00457641">
        <w:rPr>
          <w:rFonts w:ascii="Arial" w:hAnsi="Arial" w:cs="Arial"/>
        </w:rPr>
        <w:t>The Commission purchases an increasing proportion of specialist disability supports and services from WA’s strong non-government service sector. The chart below shows the rapid shift from State Government provision of services to buying those services from the sector. Nearly 74 per cent of the Commission’s Budget will flow directly to the non-government sector in 2014–2015.</w:t>
      </w:r>
    </w:p>
    <w:p w14:paraId="730737DC" w14:textId="77777777" w:rsidR="00457641" w:rsidRDefault="00457641" w:rsidP="009C2331">
      <w:pPr>
        <w:rPr>
          <w:rFonts w:ascii="Arial" w:hAnsi="Arial" w:cs="Arial"/>
        </w:rPr>
      </w:pPr>
    </w:p>
    <w:p w14:paraId="3E6924EA" w14:textId="77777777" w:rsidR="00460521" w:rsidRDefault="00460521" w:rsidP="009C2331">
      <w:pPr>
        <w:rPr>
          <w:rFonts w:ascii="Arial" w:hAnsi="Arial" w:cs="Arial"/>
        </w:rPr>
      </w:pPr>
    </w:p>
    <w:p w14:paraId="15D14CBB" w14:textId="77777777" w:rsidR="00460521" w:rsidRPr="008B3F64" w:rsidRDefault="00460521" w:rsidP="00460521">
      <w:pPr>
        <w:widowControl w:val="0"/>
        <w:autoSpaceDE w:val="0"/>
        <w:autoSpaceDN w:val="0"/>
        <w:adjustRightInd w:val="0"/>
        <w:ind w:right="-1826"/>
        <w:outlineLvl w:val="0"/>
        <w:rPr>
          <w:rFonts w:ascii="Arial" w:hAnsi="Arial" w:cs="Arial"/>
        </w:rPr>
      </w:pPr>
      <w:r w:rsidRPr="008B3F64">
        <w:rPr>
          <w:rFonts w:ascii="Arial" w:eastAsia="Times New Roman" w:hAnsi="Arial" w:cs="Arial"/>
          <w:b/>
          <w:bCs/>
        </w:rPr>
        <w:t>Total cost of services – 200</w:t>
      </w:r>
      <w:r>
        <w:rPr>
          <w:rFonts w:ascii="Arial" w:eastAsia="Times New Roman" w:hAnsi="Arial" w:cs="Arial"/>
          <w:b/>
          <w:bCs/>
        </w:rPr>
        <w:t>8</w:t>
      </w:r>
      <w:r w:rsidRPr="008B3F64">
        <w:rPr>
          <w:rFonts w:ascii="Arial" w:hAnsi="Arial" w:cs="Arial"/>
          <w:b/>
        </w:rPr>
        <w:t>–20</w:t>
      </w:r>
      <w:r w:rsidRPr="008B3F64">
        <w:rPr>
          <w:rFonts w:ascii="Arial" w:eastAsia="Times New Roman" w:hAnsi="Arial" w:cs="Arial"/>
          <w:b/>
          <w:bCs/>
        </w:rPr>
        <w:t>0</w:t>
      </w:r>
      <w:r>
        <w:rPr>
          <w:rFonts w:ascii="Arial" w:eastAsia="Times New Roman" w:hAnsi="Arial" w:cs="Arial"/>
          <w:b/>
          <w:bCs/>
        </w:rPr>
        <w:t>9</w:t>
      </w:r>
      <w:r w:rsidRPr="008B3F64">
        <w:rPr>
          <w:rFonts w:ascii="Arial" w:eastAsia="Times New Roman" w:hAnsi="Arial" w:cs="Arial"/>
          <w:b/>
          <w:bCs/>
        </w:rPr>
        <w:t xml:space="preserve"> to 2014</w:t>
      </w:r>
      <w:r w:rsidRPr="008B3F64">
        <w:rPr>
          <w:rFonts w:ascii="Arial" w:hAnsi="Arial" w:cs="Arial"/>
          <w:b/>
        </w:rPr>
        <w:t>–20</w:t>
      </w:r>
      <w:r w:rsidRPr="008B3F64">
        <w:rPr>
          <w:rFonts w:ascii="Arial" w:eastAsia="Times New Roman" w:hAnsi="Arial" w:cs="Arial"/>
          <w:b/>
          <w:bCs/>
        </w:rPr>
        <w:t>15</w:t>
      </w:r>
    </w:p>
    <w:p w14:paraId="62BA07FC" w14:textId="77777777" w:rsidR="00460521" w:rsidRDefault="00460521" w:rsidP="009C2331">
      <w:pPr>
        <w:rPr>
          <w:rFonts w:ascii="Arial" w:hAnsi="Arial" w:cs="Arial"/>
        </w:rPr>
      </w:pPr>
    </w:p>
    <w:tbl>
      <w:tblPr>
        <w:tblW w:w="9654"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60"/>
        <w:gridCol w:w="2120"/>
        <w:gridCol w:w="1840"/>
        <w:gridCol w:w="2034"/>
      </w:tblGrid>
      <w:tr w:rsidR="00460521" w:rsidRPr="006C53C2" w14:paraId="1E5C0D24" w14:textId="77777777" w:rsidTr="008F4309">
        <w:trPr>
          <w:trHeight w:val="410"/>
        </w:trPr>
        <w:tc>
          <w:tcPr>
            <w:tcW w:w="3660" w:type="dxa"/>
            <w:shd w:val="clear" w:color="auto" w:fill="auto"/>
            <w:noWrap/>
            <w:vAlign w:val="bottom"/>
            <w:hideMark/>
          </w:tcPr>
          <w:p w14:paraId="21B91B8D" w14:textId="77777777" w:rsidR="00460521" w:rsidRPr="006C53C2" w:rsidRDefault="00460521" w:rsidP="008F4309">
            <w:pPr>
              <w:rPr>
                <w:rFonts w:ascii="Arial" w:eastAsia="Times New Roman" w:hAnsi="Arial" w:cs="Arial"/>
                <w:b/>
                <w:bCs/>
              </w:rPr>
            </w:pPr>
          </w:p>
        </w:tc>
        <w:tc>
          <w:tcPr>
            <w:tcW w:w="2120" w:type="dxa"/>
            <w:shd w:val="clear" w:color="auto" w:fill="auto"/>
            <w:vAlign w:val="bottom"/>
            <w:hideMark/>
          </w:tcPr>
          <w:p w14:paraId="5562B395" w14:textId="77777777" w:rsidR="00460521" w:rsidRDefault="00460521" w:rsidP="008F4309">
            <w:pPr>
              <w:rPr>
                <w:rFonts w:ascii="Arial" w:eastAsia="Times New Roman" w:hAnsi="Arial" w:cs="Arial"/>
                <w:b/>
                <w:bCs/>
              </w:rPr>
            </w:pPr>
            <w:r>
              <w:rPr>
                <w:rFonts w:ascii="Arial" w:eastAsia="Times New Roman" w:hAnsi="Arial" w:cs="Arial"/>
                <w:b/>
                <w:bCs/>
              </w:rPr>
              <w:t>Commission operational Budget</w:t>
            </w:r>
          </w:p>
          <w:p w14:paraId="46904048" w14:textId="77777777" w:rsidR="00460521" w:rsidRPr="006C53C2" w:rsidRDefault="00460521" w:rsidP="008F4309">
            <w:pPr>
              <w:rPr>
                <w:rFonts w:ascii="Arial" w:eastAsia="Times New Roman" w:hAnsi="Arial" w:cs="Arial"/>
                <w:b/>
                <w:bCs/>
              </w:rPr>
            </w:pPr>
            <w:r>
              <w:rPr>
                <w:rFonts w:ascii="Arial" w:eastAsia="Times New Roman" w:hAnsi="Arial" w:cs="Arial"/>
                <w:b/>
                <w:bCs/>
              </w:rPr>
              <w:t>($million)</w:t>
            </w:r>
          </w:p>
        </w:tc>
        <w:tc>
          <w:tcPr>
            <w:tcW w:w="1840" w:type="dxa"/>
            <w:shd w:val="clear" w:color="auto" w:fill="auto"/>
            <w:vAlign w:val="bottom"/>
            <w:hideMark/>
          </w:tcPr>
          <w:p w14:paraId="26FEEC3D" w14:textId="77777777" w:rsidR="00460521" w:rsidRDefault="00460521" w:rsidP="008F4309">
            <w:pPr>
              <w:rPr>
                <w:rFonts w:ascii="Arial" w:eastAsia="Times New Roman" w:hAnsi="Arial" w:cs="Arial"/>
                <w:b/>
                <w:bCs/>
              </w:rPr>
            </w:pPr>
            <w:r>
              <w:rPr>
                <w:rFonts w:ascii="Arial" w:eastAsia="Times New Roman" w:hAnsi="Arial" w:cs="Arial"/>
                <w:b/>
                <w:bCs/>
              </w:rPr>
              <w:t>External s</w:t>
            </w:r>
            <w:r w:rsidRPr="006C53C2">
              <w:rPr>
                <w:rFonts w:ascii="Arial" w:eastAsia="Times New Roman" w:hAnsi="Arial" w:cs="Arial"/>
                <w:b/>
                <w:bCs/>
              </w:rPr>
              <w:t xml:space="preserve">ervice </w:t>
            </w:r>
            <w:r>
              <w:rPr>
                <w:rFonts w:ascii="Arial" w:eastAsia="Times New Roman" w:hAnsi="Arial" w:cs="Arial"/>
                <w:b/>
                <w:bCs/>
              </w:rPr>
              <w:t>p</w:t>
            </w:r>
            <w:r w:rsidRPr="006C53C2">
              <w:rPr>
                <w:rFonts w:ascii="Arial" w:eastAsia="Times New Roman" w:hAnsi="Arial" w:cs="Arial"/>
                <w:b/>
                <w:bCs/>
              </w:rPr>
              <w:t>roviders</w:t>
            </w:r>
          </w:p>
          <w:p w14:paraId="1CB9B116" w14:textId="77777777" w:rsidR="00460521" w:rsidRPr="006C53C2" w:rsidRDefault="00460521" w:rsidP="008F4309">
            <w:pPr>
              <w:rPr>
                <w:rFonts w:ascii="Arial" w:eastAsia="Times New Roman" w:hAnsi="Arial" w:cs="Arial"/>
                <w:b/>
                <w:bCs/>
              </w:rPr>
            </w:pPr>
            <w:r>
              <w:rPr>
                <w:rFonts w:ascii="Arial" w:eastAsia="Times New Roman" w:hAnsi="Arial" w:cs="Arial"/>
                <w:b/>
                <w:bCs/>
              </w:rPr>
              <w:t>($million)</w:t>
            </w:r>
          </w:p>
        </w:tc>
        <w:tc>
          <w:tcPr>
            <w:tcW w:w="2034" w:type="dxa"/>
            <w:shd w:val="clear" w:color="auto" w:fill="auto"/>
            <w:vAlign w:val="bottom"/>
            <w:hideMark/>
          </w:tcPr>
          <w:p w14:paraId="1ACB5310" w14:textId="77777777" w:rsidR="00460521" w:rsidRDefault="00460521" w:rsidP="008F4309">
            <w:pPr>
              <w:rPr>
                <w:rFonts w:ascii="Arial" w:eastAsia="Times New Roman" w:hAnsi="Arial" w:cs="Arial"/>
                <w:b/>
                <w:bCs/>
              </w:rPr>
            </w:pPr>
            <w:r w:rsidRPr="006C53C2">
              <w:rPr>
                <w:rFonts w:ascii="Arial" w:eastAsia="Times New Roman" w:hAnsi="Arial" w:cs="Arial"/>
                <w:b/>
                <w:bCs/>
              </w:rPr>
              <w:t>T</w:t>
            </w:r>
            <w:r>
              <w:rPr>
                <w:rFonts w:ascii="Arial" w:eastAsia="Times New Roman" w:hAnsi="Arial" w:cs="Arial"/>
                <w:b/>
                <w:bCs/>
              </w:rPr>
              <w:t>otal ($million)</w:t>
            </w:r>
          </w:p>
          <w:p w14:paraId="053E5DE4" w14:textId="77777777" w:rsidR="00460521" w:rsidRDefault="00460521" w:rsidP="008F4309">
            <w:pPr>
              <w:rPr>
                <w:rFonts w:ascii="Arial" w:eastAsia="Times New Roman" w:hAnsi="Arial" w:cs="Arial"/>
                <w:b/>
                <w:bCs/>
              </w:rPr>
            </w:pPr>
          </w:p>
          <w:p w14:paraId="44A49579" w14:textId="77777777" w:rsidR="00460521" w:rsidRDefault="00460521" w:rsidP="008F4309">
            <w:pPr>
              <w:rPr>
                <w:rFonts w:ascii="Arial" w:eastAsia="Times New Roman" w:hAnsi="Arial" w:cs="Arial"/>
                <w:b/>
                <w:bCs/>
              </w:rPr>
            </w:pPr>
          </w:p>
          <w:p w14:paraId="79070BC9" w14:textId="77777777" w:rsidR="00460521" w:rsidRPr="006C53C2" w:rsidRDefault="00460521" w:rsidP="008F4309">
            <w:pPr>
              <w:rPr>
                <w:rFonts w:ascii="Arial" w:eastAsia="Times New Roman" w:hAnsi="Arial" w:cs="Arial"/>
                <w:b/>
                <w:bCs/>
              </w:rPr>
            </w:pPr>
          </w:p>
        </w:tc>
      </w:tr>
      <w:tr w:rsidR="00460521" w:rsidRPr="006C53C2" w14:paraId="2E210C7A" w14:textId="77777777" w:rsidTr="008F4309">
        <w:trPr>
          <w:trHeight w:val="300"/>
        </w:trPr>
        <w:tc>
          <w:tcPr>
            <w:tcW w:w="3660" w:type="dxa"/>
            <w:shd w:val="clear" w:color="auto" w:fill="auto"/>
            <w:noWrap/>
            <w:vAlign w:val="bottom"/>
            <w:hideMark/>
          </w:tcPr>
          <w:p w14:paraId="4C70DFF1" w14:textId="77777777" w:rsidR="00460521" w:rsidRPr="006C53C2" w:rsidRDefault="00460521" w:rsidP="008F4309">
            <w:pPr>
              <w:rPr>
                <w:rFonts w:ascii="Arial" w:eastAsia="Times New Roman" w:hAnsi="Arial" w:cs="Arial"/>
              </w:rPr>
            </w:pPr>
            <w:r>
              <w:rPr>
                <w:rFonts w:ascii="Arial" w:eastAsia="Times New Roman" w:hAnsi="Arial" w:cs="Arial"/>
              </w:rPr>
              <w:t>2008</w:t>
            </w:r>
            <w:r>
              <w:rPr>
                <w:rFonts w:ascii="Arial" w:hAnsi="Arial" w:cs="Arial"/>
              </w:rPr>
              <w:t>–</w:t>
            </w:r>
            <w:r>
              <w:rPr>
                <w:rFonts w:ascii="Arial" w:eastAsia="Times New Roman" w:hAnsi="Arial" w:cs="Arial"/>
              </w:rPr>
              <w:t>20</w:t>
            </w:r>
            <w:r w:rsidRPr="006C53C2">
              <w:rPr>
                <w:rFonts w:ascii="Arial" w:eastAsia="Times New Roman" w:hAnsi="Arial" w:cs="Arial"/>
              </w:rPr>
              <w:t>09</w:t>
            </w:r>
          </w:p>
        </w:tc>
        <w:tc>
          <w:tcPr>
            <w:tcW w:w="2120" w:type="dxa"/>
            <w:shd w:val="clear" w:color="auto" w:fill="auto"/>
            <w:noWrap/>
            <w:vAlign w:val="bottom"/>
            <w:hideMark/>
          </w:tcPr>
          <w:p w14:paraId="214BED6E"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$176.3 </w:t>
            </w:r>
          </w:p>
        </w:tc>
        <w:tc>
          <w:tcPr>
            <w:tcW w:w="1840" w:type="dxa"/>
            <w:shd w:val="clear" w:color="auto" w:fill="auto"/>
            <w:noWrap/>
            <w:vAlign w:val="bottom"/>
            <w:hideMark/>
          </w:tcPr>
          <w:p w14:paraId="78E0565F"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$257.7 </w:t>
            </w:r>
          </w:p>
        </w:tc>
        <w:tc>
          <w:tcPr>
            <w:tcW w:w="2034" w:type="dxa"/>
            <w:shd w:val="clear" w:color="auto" w:fill="auto"/>
            <w:noWrap/>
            <w:vAlign w:val="bottom"/>
            <w:hideMark/>
          </w:tcPr>
          <w:p w14:paraId="515E6A4E"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$434.0 </w:t>
            </w:r>
          </w:p>
        </w:tc>
      </w:tr>
      <w:tr w:rsidR="00460521" w:rsidRPr="008255C2" w14:paraId="2C14524B" w14:textId="77777777" w:rsidTr="008F4309">
        <w:trPr>
          <w:trHeight w:val="346"/>
        </w:trPr>
        <w:tc>
          <w:tcPr>
            <w:tcW w:w="3660" w:type="dxa"/>
            <w:shd w:val="clear" w:color="auto" w:fill="auto"/>
            <w:vAlign w:val="bottom"/>
            <w:hideMark/>
          </w:tcPr>
          <w:p w14:paraId="44E86B81" w14:textId="77777777" w:rsidR="00460521" w:rsidRPr="006C53C2" w:rsidRDefault="00460521" w:rsidP="008F4309">
            <w:pPr>
              <w:rPr>
                <w:rFonts w:ascii="Arial" w:eastAsia="Times New Roman" w:hAnsi="Arial" w:cs="Arial"/>
              </w:rPr>
            </w:pPr>
            <w:r>
              <w:rPr>
                <w:rFonts w:ascii="Arial" w:eastAsia="Times New Roman" w:hAnsi="Arial" w:cs="Arial"/>
              </w:rPr>
              <w:t>2009</w:t>
            </w:r>
            <w:r w:rsidRPr="008255C2">
              <w:rPr>
                <w:rFonts w:ascii="Arial" w:eastAsia="Times New Roman" w:hAnsi="Arial" w:cs="Arial"/>
              </w:rPr>
              <w:t>–</w:t>
            </w:r>
            <w:r>
              <w:rPr>
                <w:rFonts w:ascii="Arial" w:eastAsia="Times New Roman" w:hAnsi="Arial" w:cs="Arial"/>
              </w:rPr>
              <w:t>20</w:t>
            </w:r>
            <w:r w:rsidRPr="006C53C2">
              <w:rPr>
                <w:rFonts w:ascii="Arial" w:eastAsia="Times New Roman" w:hAnsi="Arial" w:cs="Arial"/>
              </w:rPr>
              <w:t>10</w:t>
            </w:r>
          </w:p>
        </w:tc>
        <w:tc>
          <w:tcPr>
            <w:tcW w:w="2120" w:type="dxa"/>
            <w:shd w:val="clear" w:color="auto" w:fill="auto"/>
            <w:noWrap/>
            <w:vAlign w:val="bottom"/>
            <w:hideMark/>
          </w:tcPr>
          <w:p w14:paraId="2370FCC5"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$183.5 </w:t>
            </w:r>
          </w:p>
        </w:tc>
        <w:tc>
          <w:tcPr>
            <w:tcW w:w="1840" w:type="dxa"/>
            <w:shd w:val="clear" w:color="auto" w:fill="auto"/>
            <w:noWrap/>
            <w:vAlign w:val="bottom"/>
            <w:hideMark/>
          </w:tcPr>
          <w:p w14:paraId="409DE14A"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$302.9 </w:t>
            </w:r>
          </w:p>
        </w:tc>
        <w:tc>
          <w:tcPr>
            <w:tcW w:w="2034" w:type="dxa"/>
            <w:shd w:val="clear" w:color="auto" w:fill="auto"/>
            <w:noWrap/>
            <w:vAlign w:val="bottom"/>
            <w:hideMark/>
          </w:tcPr>
          <w:p w14:paraId="03D8B7EB"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$486.4 </w:t>
            </w:r>
          </w:p>
        </w:tc>
      </w:tr>
      <w:tr w:rsidR="00460521" w:rsidRPr="006C53C2" w14:paraId="29456452" w14:textId="77777777" w:rsidTr="008F4309">
        <w:trPr>
          <w:trHeight w:val="280"/>
        </w:trPr>
        <w:tc>
          <w:tcPr>
            <w:tcW w:w="3660" w:type="dxa"/>
            <w:shd w:val="clear" w:color="auto" w:fill="auto"/>
            <w:vAlign w:val="bottom"/>
            <w:hideMark/>
          </w:tcPr>
          <w:p w14:paraId="22A5C943" w14:textId="77777777" w:rsidR="00460521" w:rsidRPr="006C53C2" w:rsidRDefault="00460521" w:rsidP="008F4309">
            <w:pPr>
              <w:rPr>
                <w:rFonts w:ascii="Arial" w:eastAsia="Times New Roman" w:hAnsi="Arial" w:cs="Arial"/>
              </w:rPr>
            </w:pPr>
            <w:r>
              <w:rPr>
                <w:rFonts w:ascii="Arial" w:eastAsia="Times New Roman" w:hAnsi="Arial" w:cs="Arial"/>
              </w:rPr>
              <w:t>2010</w:t>
            </w:r>
            <w:r>
              <w:rPr>
                <w:rFonts w:ascii="Arial" w:hAnsi="Arial" w:cs="Arial"/>
              </w:rPr>
              <w:t>–</w:t>
            </w:r>
            <w:r>
              <w:rPr>
                <w:rFonts w:ascii="Arial" w:eastAsia="Times New Roman" w:hAnsi="Arial" w:cs="Arial"/>
              </w:rPr>
              <w:t>20</w:t>
            </w:r>
            <w:r w:rsidRPr="006C53C2">
              <w:rPr>
                <w:rFonts w:ascii="Arial" w:eastAsia="Times New Roman" w:hAnsi="Arial" w:cs="Arial"/>
              </w:rPr>
              <w:t>11</w:t>
            </w:r>
          </w:p>
        </w:tc>
        <w:tc>
          <w:tcPr>
            <w:tcW w:w="2120" w:type="dxa"/>
            <w:shd w:val="clear" w:color="auto" w:fill="auto"/>
            <w:noWrap/>
            <w:vAlign w:val="bottom"/>
            <w:hideMark/>
          </w:tcPr>
          <w:p w14:paraId="4D26C3CA" w14:textId="77777777" w:rsidR="00460521" w:rsidRPr="006C53C2" w:rsidRDefault="00460521" w:rsidP="008F4309">
            <w:pPr>
              <w:rPr>
                <w:rFonts w:ascii="Arial" w:eastAsia="Times New Roman" w:hAnsi="Arial" w:cs="Arial"/>
              </w:rPr>
            </w:pPr>
            <w:r>
              <w:rPr>
                <w:rFonts w:ascii="Arial" w:eastAsia="Times New Roman" w:hAnsi="Arial" w:cs="Arial"/>
              </w:rPr>
              <w:t>$</w:t>
            </w:r>
            <w:r w:rsidRPr="006C53C2">
              <w:rPr>
                <w:rFonts w:ascii="Arial" w:eastAsia="Times New Roman" w:hAnsi="Arial" w:cs="Arial"/>
              </w:rPr>
              <w:t>192.98</w:t>
            </w:r>
          </w:p>
        </w:tc>
        <w:tc>
          <w:tcPr>
            <w:tcW w:w="1840" w:type="dxa"/>
            <w:shd w:val="clear" w:color="auto" w:fill="auto"/>
            <w:noWrap/>
            <w:vAlign w:val="bottom"/>
            <w:hideMark/>
          </w:tcPr>
          <w:p w14:paraId="6331FBEA" w14:textId="77777777" w:rsidR="00460521" w:rsidRPr="006C53C2" w:rsidRDefault="00460521" w:rsidP="008F4309">
            <w:pPr>
              <w:rPr>
                <w:rFonts w:ascii="Arial" w:eastAsia="Times New Roman" w:hAnsi="Arial" w:cs="Arial"/>
              </w:rPr>
            </w:pPr>
            <w:r>
              <w:rPr>
                <w:rFonts w:ascii="Arial" w:eastAsia="Times New Roman" w:hAnsi="Arial" w:cs="Arial"/>
              </w:rPr>
              <w:t>$</w:t>
            </w:r>
            <w:r w:rsidRPr="006C53C2">
              <w:rPr>
                <w:rFonts w:ascii="Arial" w:eastAsia="Times New Roman" w:hAnsi="Arial" w:cs="Arial"/>
              </w:rPr>
              <w:t>348.17</w:t>
            </w:r>
          </w:p>
        </w:tc>
        <w:tc>
          <w:tcPr>
            <w:tcW w:w="2034" w:type="dxa"/>
            <w:shd w:val="clear" w:color="auto" w:fill="auto"/>
            <w:noWrap/>
            <w:vAlign w:val="bottom"/>
            <w:hideMark/>
          </w:tcPr>
          <w:p w14:paraId="0F9A308E"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$541.2 </w:t>
            </w:r>
          </w:p>
        </w:tc>
      </w:tr>
      <w:tr w:rsidR="00460521" w:rsidRPr="006C53C2" w14:paraId="6E2C4D3C" w14:textId="77777777" w:rsidTr="008F4309">
        <w:trPr>
          <w:trHeight w:val="300"/>
        </w:trPr>
        <w:tc>
          <w:tcPr>
            <w:tcW w:w="3660" w:type="dxa"/>
            <w:shd w:val="clear" w:color="auto" w:fill="auto"/>
            <w:vAlign w:val="bottom"/>
            <w:hideMark/>
          </w:tcPr>
          <w:p w14:paraId="6626621F" w14:textId="77777777" w:rsidR="00460521" w:rsidRPr="006C53C2" w:rsidRDefault="00460521" w:rsidP="008F4309">
            <w:pPr>
              <w:rPr>
                <w:rFonts w:ascii="Arial" w:eastAsia="Times New Roman" w:hAnsi="Arial" w:cs="Arial"/>
              </w:rPr>
            </w:pPr>
            <w:r>
              <w:rPr>
                <w:rFonts w:ascii="Arial" w:eastAsia="Times New Roman" w:hAnsi="Arial" w:cs="Arial"/>
              </w:rPr>
              <w:t>2011</w:t>
            </w:r>
            <w:r>
              <w:rPr>
                <w:rFonts w:ascii="Arial" w:hAnsi="Arial" w:cs="Arial"/>
              </w:rPr>
              <w:t>–</w:t>
            </w:r>
            <w:r>
              <w:rPr>
                <w:rFonts w:ascii="Arial" w:eastAsia="Times New Roman" w:hAnsi="Arial" w:cs="Arial"/>
              </w:rPr>
              <w:t>201</w:t>
            </w:r>
            <w:r w:rsidRPr="006C53C2">
              <w:rPr>
                <w:rFonts w:ascii="Arial" w:eastAsia="Times New Roman" w:hAnsi="Arial" w:cs="Arial"/>
              </w:rPr>
              <w:t>2</w:t>
            </w:r>
          </w:p>
        </w:tc>
        <w:tc>
          <w:tcPr>
            <w:tcW w:w="2120" w:type="dxa"/>
            <w:shd w:val="clear" w:color="auto" w:fill="auto"/>
            <w:noWrap/>
            <w:vAlign w:val="bottom"/>
            <w:hideMark/>
          </w:tcPr>
          <w:p w14:paraId="698F3246" w14:textId="77777777" w:rsidR="00460521" w:rsidRPr="006C53C2" w:rsidRDefault="00460521" w:rsidP="008F4309">
            <w:pPr>
              <w:rPr>
                <w:rFonts w:ascii="Arial" w:eastAsia="Times New Roman" w:hAnsi="Arial" w:cs="Arial"/>
              </w:rPr>
            </w:pPr>
            <w:r>
              <w:rPr>
                <w:rFonts w:ascii="Arial" w:eastAsia="Times New Roman" w:hAnsi="Arial" w:cs="Arial"/>
              </w:rPr>
              <w:t>$</w:t>
            </w:r>
            <w:r w:rsidRPr="006C53C2">
              <w:rPr>
                <w:rFonts w:ascii="Arial" w:eastAsia="Times New Roman" w:hAnsi="Arial" w:cs="Arial"/>
              </w:rPr>
              <w:t>213.47</w:t>
            </w:r>
          </w:p>
        </w:tc>
        <w:tc>
          <w:tcPr>
            <w:tcW w:w="1840" w:type="dxa"/>
            <w:shd w:val="clear" w:color="auto" w:fill="auto"/>
            <w:noWrap/>
            <w:vAlign w:val="bottom"/>
            <w:hideMark/>
          </w:tcPr>
          <w:p w14:paraId="3588A0AA" w14:textId="77777777" w:rsidR="00460521" w:rsidRPr="006C53C2" w:rsidRDefault="00460521" w:rsidP="008F4309">
            <w:pPr>
              <w:rPr>
                <w:rFonts w:ascii="Arial" w:eastAsia="Times New Roman" w:hAnsi="Arial" w:cs="Arial"/>
              </w:rPr>
            </w:pPr>
            <w:r>
              <w:rPr>
                <w:rFonts w:ascii="Arial" w:eastAsia="Times New Roman" w:hAnsi="Arial" w:cs="Arial"/>
              </w:rPr>
              <w:t>$</w:t>
            </w:r>
            <w:r w:rsidRPr="006C53C2">
              <w:rPr>
                <w:rFonts w:ascii="Arial" w:eastAsia="Times New Roman" w:hAnsi="Arial" w:cs="Arial"/>
              </w:rPr>
              <w:t>444.00</w:t>
            </w:r>
          </w:p>
        </w:tc>
        <w:tc>
          <w:tcPr>
            <w:tcW w:w="2034" w:type="dxa"/>
            <w:shd w:val="clear" w:color="auto" w:fill="auto"/>
            <w:noWrap/>
            <w:vAlign w:val="bottom"/>
            <w:hideMark/>
          </w:tcPr>
          <w:p w14:paraId="55886F8D"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$657.5 </w:t>
            </w:r>
          </w:p>
        </w:tc>
      </w:tr>
      <w:tr w:rsidR="00460521" w:rsidRPr="006C53C2" w14:paraId="6B7B6A0C" w14:textId="77777777" w:rsidTr="008F4309">
        <w:trPr>
          <w:trHeight w:val="300"/>
        </w:trPr>
        <w:tc>
          <w:tcPr>
            <w:tcW w:w="3660" w:type="dxa"/>
            <w:shd w:val="clear" w:color="auto" w:fill="auto"/>
            <w:vAlign w:val="bottom"/>
            <w:hideMark/>
          </w:tcPr>
          <w:p w14:paraId="349BEEE8" w14:textId="77777777" w:rsidR="00460521" w:rsidRPr="006C53C2" w:rsidRDefault="00460521" w:rsidP="008F4309">
            <w:pPr>
              <w:rPr>
                <w:rFonts w:ascii="Arial" w:eastAsia="Times New Roman" w:hAnsi="Arial" w:cs="Arial"/>
              </w:rPr>
            </w:pPr>
            <w:r>
              <w:rPr>
                <w:rFonts w:ascii="Arial" w:eastAsia="Times New Roman" w:hAnsi="Arial" w:cs="Arial"/>
              </w:rPr>
              <w:t>2012</w:t>
            </w:r>
            <w:r>
              <w:rPr>
                <w:rFonts w:ascii="Arial" w:hAnsi="Arial" w:cs="Arial"/>
              </w:rPr>
              <w:t>–</w:t>
            </w:r>
            <w:r>
              <w:rPr>
                <w:rFonts w:ascii="Arial" w:eastAsia="Times New Roman" w:hAnsi="Arial" w:cs="Arial"/>
              </w:rPr>
              <w:t>20</w:t>
            </w:r>
            <w:r w:rsidRPr="006C53C2">
              <w:rPr>
                <w:rFonts w:ascii="Arial" w:eastAsia="Times New Roman" w:hAnsi="Arial" w:cs="Arial"/>
              </w:rPr>
              <w:t xml:space="preserve">13 </w:t>
            </w:r>
          </w:p>
        </w:tc>
        <w:tc>
          <w:tcPr>
            <w:tcW w:w="2120" w:type="dxa"/>
            <w:shd w:val="clear" w:color="auto" w:fill="auto"/>
            <w:noWrap/>
            <w:vAlign w:val="bottom"/>
            <w:hideMark/>
          </w:tcPr>
          <w:p w14:paraId="5D291AB6" w14:textId="77777777" w:rsidR="00460521" w:rsidRPr="006C53C2" w:rsidRDefault="00460521" w:rsidP="008F4309">
            <w:pPr>
              <w:rPr>
                <w:rFonts w:ascii="Arial" w:eastAsia="Times New Roman" w:hAnsi="Arial" w:cs="Arial"/>
              </w:rPr>
            </w:pPr>
            <w:r>
              <w:rPr>
                <w:rFonts w:ascii="Arial" w:eastAsia="Times New Roman" w:hAnsi="Arial" w:cs="Arial"/>
              </w:rPr>
              <w:t>$221.1</w:t>
            </w:r>
          </w:p>
        </w:tc>
        <w:tc>
          <w:tcPr>
            <w:tcW w:w="1840" w:type="dxa"/>
            <w:shd w:val="clear" w:color="auto" w:fill="auto"/>
            <w:noWrap/>
            <w:vAlign w:val="bottom"/>
            <w:hideMark/>
          </w:tcPr>
          <w:p w14:paraId="0CF2AF8E" w14:textId="77777777" w:rsidR="00460521" w:rsidRPr="006C53C2" w:rsidRDefault="00460521" w:rsidP="008F4309">
            <w:pPr>
              <w:rPr>
                <w:rFonts w:ascii="Arial" w:eastAsia="Times New Roman" w:hAnsi="Arial" w:cs="Arial"/>
              </w:rPr>
            </w:pPr>
            <w:r>
              <w:rPr>
                <w:rFonts w:ascii="Arial" w:eastAsia="Times New Roman" w:hAnsi="Arial" w:cs="Arial"/>
              </w:rPr>
              <w:t>$496.8</w:t>
            </w:r>
          </w:p>
        </w:tc>
        <w:tc>
          <w:tcPr>
            <w:tcW w:w="2034" w:type="dxa"/>
            <w:shd w:val="clear" w:color="auto" w:fill="auto"/>
            <w:noWrap/>
            <w:vAlign w:val="bottom"/>
            <w:hideMark/>
          </w:tcPr>
          <w:p w14:paraId="5545A297" w14:textId="77777777" w:rsidR="00460521" w:rsidRPr="006C53C2" w:rsidRDefault="00460521" w:rsidP="008F4309">
            <w:pPr>
              <w:rPr>
                <w:rFonts w:ascii="Arial" w:eastAsia="Times New Roman" w:hAnsi="Arial" w:cs="Arial"/>
              </w:rPr>
            </w:pPr>
            <w:r w:rsidRPr="006C53C2">
              <w:rPr>
                <w:rFonts w:ascii="Arial" w:eastAsia="Times New Roman" w:hAnsi="Arial" w:cs="Arial"/>
              </w:rPr>
              <w:t xml:space="preserve">$717.9 </w:t>
            </w:r>
          </w:p>
        </w:tc>
      </w:tr>
      <w:tr w:rsidR="00460521" w:rsidRPr="006C53C2" w14:paraId="4830014C" w14:textId="77777777" w:rsidTr="008F4309">
        <w:trPr>
          <w:trHeight w:val="300"/>
        </w:trPr>
        <w:tc>
          <w:tcPr>
            <w:tcW w:w="3660" w:type="dxa"/>
            <w:shd w:val="clear" w:color="auto" w:fill="auto"/>
            <w:vAlign w:val="bottom"/>
            <w:hideMark/>
          </w:tcPr>
          <w:p w14:paraId="78A03D7A" w14:textId="77777777" w:rsidR="00460521" w:rsidRDefault="00460521" w:rsidP="008F4309">
            <w:pPr>
              <w:rPr>
                <w:rFonts w:ascii="Arial" w:eastAsia="Times New Roman" w:hAnsi="Arial" w:cs="Arial"/>
              </w:rPr>
            </w:pPr>
            <w:r>
              <w:rPr>
                <w:rFonts w:ascii="Arial" w:eastAsia="Times New Roman" w:hAnsi="Arial" w:cs="Arial"/>
              </w:rPr>
              <w:t>2013</w:t>
            </w:r>
            <w:r>
              <w:rPr>
                <w:rFonts w:ascii="Arial" w:hAnsi="Arial" w:cs="Arial"/>
              </w:rPr>
              <w:t>–</w:t>
            </w:r>
            <w:r>
              <w:rPr>
                <w:rFonts w:ascii="Arial" w:eastAsia="Times New Roman" w:hAnsi="Arial" w:cs="Arial"/>
              </w:rPr>
              <w:t>20</w:t>
            </w:r>
            <w:r w:rsidRPr="006C53C2">
              <w:rPr>
                <w:rFonts w:ascii="Arial" w:eastAsia="Times New Roman" w:hAnsi="Arial" w:cs="Arial"/>
              </w:rPr>
              <w:t xml:space="preserve">14 </w:t>
            </w:r>
          </w:p>
          <w:p w14:paraId="3663598C" w14:textId="77777777" w:rsidR="00460521" w:rsidRPr="006C53C2" w:rsidRDefault="00460521" w:rsidP="008F4309">
            <w:pPr>
              <w:rPr>
                <w:rFonts w:ascii="Arial" w:eastAsia="Times New Roman" w:hAnsi="Arial" w:cs="Arial"/>
              </w:rPr>
            </w:pPr>
            <w:r>
              <w:rPr>
                <w:rFonts w:ascii="Arial" w:eastAsia="Times New Roman" w:hAnsi="Arial" w:cs="Arial"/>
              </w:rPr>
              <w:t>estimated a</w:t>
            </w:r>
            <w:r w:rsidRPr="006C53C2">
              <w:rPr>
                <w:rFonts w:ascii="Arial" w:eastAsia="Times New Roman" w:hAnsi="Arial" w:cs="Arial"/>
              </w:rPr>
              <w:t>ctual</w:t>
            </w:r>
          </w:p>
        </w:tc>
        <w:tc>
          <w:tcPr>
            <w:tcW w:w="2120" w:type="dxa"/>
            <w:shd w:val="clear" w:color="auto" w:fill="auto"/>
            <w:noWrap/>
            <w:vAlign w:val="bottom"/>
            <w:hideMark/>
          </w:tcPr>
          <w:p w14:paraId="1C6F1CD0" w14:textId="77777777" w:rsidR="00460521" w:rsidRPr="006C53C2" w:rsidRDefault="00460521" w:rsidP="008F4309">
            <w:pPr>
              <w:rPr>
                <w:rFonts w:ascii="Arial" w:eastAsia="Times New Roman" w:hAnsi="Arial" w:cs="Arial"/>
              </w:rPr>
            </w:pPr>
            <w:r w:rsidRPr="006C53C2">
              <w:rPr>
                <w:rFonts w:ascii="Arial" w:eastAsia="Times New Roman" w:hAnsi="Arial" w:cs="Arial"/>
              </w:rPr>
              <w:t>$</w:t>
            </w:r>
            <w:r>
              <w:rPr>
                <w:rFonts w:ascii="Arial" w:eastAsia="Times New Roman" w:hAnsi="Arial" w:cs="Arial"/>
              </w:rPr>
              <w:t>221.8</w:t>
            </w:r>
          </w:p>
        </w:tc>
        <w:tc>
          <w:tcPr>
            <w:tcW w:w="1840" w:type="dxa"/>
            <w:shd w:val="clear" w:color="auto" w:fill="auto"/>
            <w:noWrap/>
            <w:vAlign w:val="bottom"/>
            <w:hideMark/>
          </w:tcPr>
          <w:p w14:paraId="6DB11FF1" w14:textId="77777777" w:rsidR="00460521" w:rsidRPr="006C53C2" w:rsidRDefault="00460521" w:rsidP="008F4309">
            <w:pPr>
              <w:rPr>
                <w:rFonts w:ascii="Arial" w:eastAsia="Times New Roman" w:hAnsi="Arial" w:cs="Arial"/>
              </w:rPr>
            </w:pPr>
            <w:r w:rsidRPr="006C53C2">
              <w:rPr>
                <w:rFonts w:ascii="Arial" w:eastAsia="Times New Roman" w:hAnsi="Arial" w:cs="Arial"/>
              </w:rPr>
              <w:t>$</w:t>
            </w:r>
            <w:r>
              <w:rPr>
                <w:rFonts w:ascii="Arial" w:eastAsia="Times New Roman" w:hAnsi="Arial" w:cs="Arial"/>
              </w:rPr>
              <w:t>578.8</w:t>
            </w:r>
          </w:p>
        </w:tc>
        <w:tc>
          <w:tcPr>
            <w:tcW w:w="2034" w:type="dxa"/>
            <w:shd w:val="clear" w:color="auto" w:fill="auto"/>
            <w:noWrap/>
            <w:vAlign w:val="bottom"/>
            <w:hideMark/>
          </w:tcPr>
          <w:p w14:paraId="3F234C39" w14:textId="77777777" w:rsidR="00460521" w:rsidRPr="006C53C2" w:rsidRDefault="00460521" w:rsidP="008F4309">
            <w:pPr>
              <w:rPr>
                <w:rFonts w:ascii="Arial" w:eastAsia="Times New Roman" w:hAnsi="Arial" w:cs="Arial"/>
              </w:rPr>
            </w:pPr>
            <w:r w:rsidRPr="006C53C2">
              <w:rPr>
                <w:rFonts w:ascii="Arial" w:eastAsia="Times New Roman" w:hAnsi="Arial" w:cs="Arial"/>
              </w:rPr>
              <w:t>$</w:t>
            </w:r>
            <w:r>
              <w:rPr>
                <w:rFonts w:ascii="Arial" w:eastAsia="Times New Roman" w:hAnsi="Arial" w:cs="Arial"/>
              </w:rPr>
              <w:t>800.6</w:t>
            </w:r>
          </w:p>
        </w:tc>
      </w:tr>
      <w:tr w:rsidR="00460521" w:rsidRPr="00A319A2" w14:paraId="63CCA7AA" w14:textId="77777777" w:rsidTr="008F4309">
        <w:trPr>
          <w:trHeight w:val="300"/>
        </w:trPr>
        <w:tc>
          <w:tcPr>
            <w:tcW w:w="3660" w:type="dxa"/>
            <w:shd w:val="clear" w:color="auto" w:fill="auto"/>
            <w:vAlign w:val="bottom"/>
          </w:tcPr>
          <w:p w14:paraId="74AE8B3C" w14:textId="77777777" w:rsidR="00460521" w:rsidRPr="00C75A61" w:rsidRDefault="00460521" w:rsidP="008F4309">
            <w:pPr>
              <w:rPr>
                <w:rFonts w:ascii="Arial" w:eastAsia="Times New Roman" w:hAnsi="Arial" w:cs="Arial"/>
              </w:rPr>
            </w:pPr>
            <w:r w:rsidRPr="00C75A61">
              <w:rPr>
                <w:rFonts w:ascii="Arial" w:eastAsia="Times New Roman" w:hAnsi="Arial" w:cs="Arial"/>
              </w:rPr>
              <w:t>2014</w:t>
            </w:r>
            <w:r w:rsidRPr="00C75A61">
              <w:rPr>
                <w:rFonts w:ascii="Arial" w:hAnsi="Arial" w:cs="Arial"/>
              </w:rPr>
              <w:t>–</w:t>
            </w:r>
            <w:r w:rsidRPr="00C75A61">
              <w:rPr>
                <w:rFonts w:ascii="Arial" w:eastAsia="Times New Roman" w:hAnsi="Arial" w:cs="Arial"/>
              </w:rPr>
              <w:t xml:space="preserve">2015 </w:t>
            </w:r>
          </w:p>
          <w:p w14:paraId="672079B3" w14:textId="77777777" w:rsidR="00460521" w:rsidRPr="00C75A61" w:rsidRDefault="00460521" w:rsidP="008F4309">
            <w:pPr>
              <w:rPr>
                <w:rFonts w:ascii="Arial" w:eastAsia="Times New Roman" w:hAnsi="Arial" w:cs="Arial"/>
              </w:rPr>
            </w:pPr>
            <w:r>
              <w:rPr>
                <w:rFonts w:ascii="Arial" w:eastAsia="Times New Roman" w:hAnsi="Arial" w:cs="Arial"/>
              </w:rPr>
              <w:t>Budget</w:t>
            </w:r>
            <w:r w:rsidRPr="00C75A61">
              <w:rPr>
                <w:rFonts w:ascii="Arial" w:eastAsia="Times New Roman" w:hAnsi="Arial" w:cs="Arial"/>
              </w:rPr>
              <w:t xml:space="preserve"> estimate</w:t>
            </w:r>
          </w:p>
        </w:tc>
        <w:tc>
          <w:tcPr>
            <w:tcW w:w="2120" w:type="dxa"/>
            <w:shd w:val="clear" w:color="auto" w:fill="auto"/>
            <w:noWrap/>
            <w:vAlign w:val="bottom"/>
          </w:tcPr>
          <w:p w14:paraId="63E9C06F" w14:textId="77777777" w:rsidR="00460521" w:rsidRPr="00C75A61" w:rsidRDefault="00460521" w:rsidP="008F4309">
            <w:pPr>
              <w:rPr>
                <w:rFonts w:ascii="Arial" w:eastAsia="Times New Roman" w:hAnsi="Arial" w:cs="Arial"/>
              </w:rPr>
            </w:pPr>
            <w:r w:rsidRPr="00C75A61">
              <w:rPr>
                <w:rFonts w:ascii="Arial" w:eastAsia="Times New Roman" w:hAnsi="Arial" w:cs="Arial"/>
              </w:rPr>
              <w:t>$2</w:t>
            </w:r>
            <w:r>
              <w:rPr>
                <w:rFonts w:ascii="Arial" w:eastAsia="Times New Roman" w:hAnsi="Arial" w:cs="Arial"/>
              </w:rPr>
              <w:t>29</w:t>
            </w:r>
          </w:p>
        </w:tc>
        <w:tc>
          <w:tcPr>
            <w:tcW w:w="1840" w:type="dxa"/>
            <w:shd w:val="clear" w:color="auto" w:fill="auto"/>
            <w:noWrap/>
            <w:vAlign w:val="bottom"/>
          </w:tcPr>
          <w:p w14:paraId="19885E8F" w14:textId="77777777" w:rsidR="00460521" w:rsidRPr="00C75A61" w:rsidRDefault="00460521" w:rsidP="008F4309">
            <w:pPr>
              <w:rPr>
                <w:rFonts w:ascii="Arial" w:eastAsia="Times New Roman" w:hAnsi="Arial" w:cs="Arial"/>
              </w:rPr>
            </w:pPr>
            <w:r w:rsidRPr="00C75A61">
              <w:rPr>
                <w:rFonts w:ascii="Arial" w:eastAsia="Times New Roman" w:hAnsi="Arial" w:cs="Arial"/>
              </w:rPr>
              <w:t>$6</w:t>
            </w:r>
            <w:r>
              <w:rPr>
                <w:rFonts w:ascii="Arial" w:eastAsia="Times New Roman" w:hAnsi="Arial" w:cs="Arial"/>
              </w:rPr>
              <w:t>44.4</w:t>
            </w:r>
          </w:p>
        </w:tc>
        <w:tc>
          <w:tcPr>
            <w:tcW w:w="2034" w:type="dxa"/>
            <w:shd w:val="clear" w:color="auto" w:fill="auto"/>
            <w:noWrap/>
            <w:vAlign w:val="bottom"/>
          </w:tcPr>
          <w:p w14:paraId="1FA04D92" w14:textId="77777777" w:rsidR="00460521" w:rsidRPr="00C75A61" w:rsidRDefault="00460521" w:rsidP="008F4309">
            <w:pPr>
              <w:rPr>
                <w:rFonts w:ascii="Arial" w:eastAsia="Times New Roman" w:hAnsi="Arial" w:cs="Arial"/>
              </w:rPr>
            </w:pPr>
            <w:r w:rsidRPr="00C75A61">
              <w:rPr>
                <w:rFonts w:ascii="Arial" w:eastAsia="Times New Roman" w:hAnsi="Arial" w:cs="Arial"/>
              </w:rPr>
              <w:t>$873.4</w:t>
            </w:r>
          </w:p>
        </w:tc>
      </w:tr>
    </w:tbl>
    <w:p w14:paraId="197950EB" w14:textId="77777777" w:rsidR="00460521" w:rsidRDefault="00460521" w:rsidP="009C2331">
      <w:pPr>
        <w:rPr>
          <w:rFonts w:ascii="Arial" w:hAnsi="Arial" w:cs="Arial"/>
        </w:rPr>
      </w:pPr>
    </w:p>
    <w:p w14:paraId="60C91E8E" w14:textId="77777777" w:rsidR="008F4309" w:rsidRDefault="008F4309" w:rsidP="009C2331">
      <w:pPr>
        <w:rPr>
          <w:rFonts w:ascii="Arial" w:hAnsi="Arial" w:cs="Arial"/>
        </w:rPr>
      </w:pPr>
    </w:p>
    <w:p w14:paraId="1EA6100B" w14:textId="33EDA933" w:rsidR="008F4309" w:rsidRPr="00A05B56" w:rsidRDefault="00A05B56" w:rsidP="009C2331">
      <w:pPr>
        <w:rPr>
          <w:rFonts w:ascii="Arial" w:hAnsi="Arial" w:cs="Arial"/>
          <w:b/>
        </w:rPr>
      </w:pPr>
      <w:r w:rsidRPr="00A05B56">
        <w:rPr>
          <w:rFonts w:ascii="Arial" w:hAnsi="Arial" w:cs="Arial"/>
          <w:b/>
        </w:rPr>
        <w:t>Administrative expenditure as a proportion of total expenditure – by state and territory</w:t>
      </w:r>
    </w:p>
    <w:p w14:paraId="3F80CC4A" w14:textId="77777777" w:rsidR="00A05B56" w:rsidRDefault="00A05B56"/>
    <w:tbl>
      <w:tblPr>
        <w:tblStyle w:val="TableGrid"/>
        <w:tblW w:w="9639" w:type="dxa"/>
        <w:tblInd w:w="108" w:type="dxa"/>
        <w:tblLayout w:type="fixed"/>
        <w:tblLook w:val="04A0" w:firstRow="1" w:lastRow="0" w:firstColumn="1" w:lastColumn="0" w:noHBand="0" w:noVBand="1"/>
      </w:tblPr>
      <w:tblGrid>
        <w:gridCol w:w="1418"/>
        <w:gridCol w:w="709"/>
        <w:gridCol w:w="708"/>
        <w:gridCol w:w="709"/>
        <w:gridCol w:w="567"/>
        <w:gridCol w:w="567"/>
        <w:gridCol w:w="709"/>
        <w:gridCol w:w="709"/>
        <w:gridCol w:w="567"/>
        <w:gridCol w:w="1559"/>
        <w:gridCol w:w="1417"/>
      </w:tblGrid>
      <w:tr w:rsidR="00712190" w:rsidRPr="00712190" w14:paraId="0AA21C15" w14:textId="77777777" w:rsidTr="00712190">
        <w:trPr>
          <w:trHeight w:val="300"/>
        </w:trPr>
        <w:tc>
          <w:tcPr>
            <w:tcW w:w="1418" w:type="dxa"/>
            <w:noWrap/>
            <w:hideMark/>
          </w:tcPr>
          <w:p w14:paraId="27B0F213" w14:textId="77777777" w:rsidR="000C6AED" w:rsidRPr="00712190" w:rsidRDefault="000C6AED" w:rsidP="009E3A6E">
            <w:pPr>
              <w:rPr>
                <w:rFonts w:ascii="Arial" w:hAnsi="Arial" w:cs="Arial"/>
                <w:sz w:val="24"/>
                <w:szCs w:val="24"/>
              </w:rPr>
            </w:pPr>
            <w:r w:rsidRPr="00712190">
              <w:rPr>
                <w:rFonts w:ascii="Arial" w:hAnsi="Arial" w:cs="Arial"/>
                <w:sz w:val="24"/>
                <w:szCs w:val="24"/>
              </w:rPr>
              <w:t>Jurisdiction</w:t>
            </w:r>
          </w:p>
        </w:tc>
        <w:tc>
          <w:tcPr>
            <w:tcW w:w="709" w:type="dxa"/>
            <w:noWrap/>
            <w:hideMark/>
          </w:tcPr>
          <w:p w14:paraId="4A43909A" w14:textId="6A0063A3" w:rsidR="000C6AED" w:rsidRPr="00712190" w:rsidRDefault="00E7640D" w:rsidP="00712190">
            <w:pPr>
              <w:ind w:right="-108"/>
              <w:rPr>
                <w:rFonts w:ascii="Arial" w:hAnsi="Arial" w:cs="Arial"/>
                <w:iCs/>
                <w:sz w:val="24"/>
                <w:szCs w:val="24"/>
              </w:rPr>
            </w:pPr>
            <w:r w:rsidRPr="00712190">
              <w:rPr>
                <w:rFonts w:ascii="Arial" w:hAnsi="Arial" w:cs="Arial"/>
                <w:iCs/>
                <w:sz w:val="24"/>
                <w:szCs w:val="24"/>
              </w:rPr>
              <w:t>NSW</w:t>
            </w:r>
            <w:r w:rsidR="000C6AED" w:rsidRPr="00712190">
              <w:rPr>
                <w:rFonts w:ascii="Arial" w:hAnsi="Arial" w:cs="Arial"/>
                <w:iCs/>
                <w:sz w:val="24"/>
                <w:szCs w:val="24"/>
              </w:rPr>
              <w:t xml:space="preserve"> </w:t>
            </w:r>
          </w:p>
        </w:tc>
        <w:tc>
          <w:tcPr>
            <w:tcW w:w="708" w:type="dxa"/>
            <w:noWrap/>
            <w:hideMark/>
          </w:tcPr>
          <w:p w14:paraId="1D0F4BA6" w14:textId="743AE453" w:rsidR="000C6AED" w:rsidRPr="00712190" w:rsidRDefault="00E7640D" w:rsidP="00712190">
            <w:pPr>
              <w:ind w:right="-108"/>
              <w:rPr>
                <w:rFonts w:ascii="Arial" w:hAnsi="Arial" w:cs="Arial"/>
                <w:iCs/>
                <w:sz w:val="24"/>
                <w:szCs w:val="24"/>
              </w:rPr>
            </w:pPr>
            <w:r w:rsidRPr="00712190">
              <w:rPr>
                <w:rFonts w:ascii="Arial" w:hAnsi="Arial" w:cs="Arial"/>
                <w:iCs/>
                <w:sz w:val="24"/>
                <w:szCs w:val="24"/>
              </w:rPr>
              <w:t>VIC</w:t>
            </w:r>
          </w:p>
        </w:tc>
        <w:tc>
          <w:tcPr>
            <w:tcW w:w="709" w:type="dxa"/>
            <w:noWrap/>
            <w:hideMark/>
          </w:tcPr>
          <w:p w14:paraId="6ED5E1C3" w14:textId="0E64789B" w:rsidR="000C6AED" w:rsidRPr="00712190" w:rsidRDefault="000C6AED" w:rsidP="00712190">
            <w:pPr>
              <w:ind w:right="-108"/>
              <w:rPr>
                <w:rFonts w:ascii="Arial" w:hAnsi="Arial" w:cs="Arial"/>
                <w:iCs/>
                <w:sz w:val="24"/>
                <w:szCs w:val="24"/>
              </w:rPr>
            </w:pPr>
            <w:r w:rsidRPr="00712190">
              <w:rPr>
                <w:rFonts w:ascii="Arial" w:hAnsi="Arial" w:cs="Arial"/>
                <w:iCs/>
                <w:sz w:val="24"/>
                <w:szCs w:val="24"/>
              </w:rPr>
              <w:t>Q</w:t>
            </w:r>
            <w:r w:rsidR="00E7640D" w:rsidRPr="00712190">
              <w:rPr>
                <w:rFonts w:ascii="Arial" w:hAnsi="Arial" w:cs="Arial"/>
                <w:iCs/>
                <w:sz w:val="24"/>
                <w:szCs w:val="24"/>
              </w:rPr>
              <w:t>LD</w:t>
            </w:r>
          </w:p>
        </w:tc>
        <w:tc>
          <w:tcPr>
            <w:tcW w:w="567" w:type="dxa"/>
            <w:noWrap/>
            <w:hideMark/>
          </w:tcPr>
          <w:p w14:paraId="1E42FA77" w14:textId="74214F82" w:rsidR="000C6AED" w:rsidRPr="00712190" w:rsidRDefault="00E7640D" w:rsidP="00712190">
            <w:pPr>
              <w:ind w:right="-108"/>
              <w:rPr>
                <w:rFonts w:ascii="Arial" w:hAnsi="Arial" w:cs="Arial"/>
                <w:iCs/>
                <w:sz w:val="24"/>
                <w:szCs w:val="24"/>
              </w:rPr>
            </w:pPr>
            <w:r w:rsidRPr="00712190">
              <w:rPr>
                <w:rFonts w:ascii="Arial" w:hAnsi="Arial" w:cs="Arial"/>
                <w:iCs/>
                <w:sz w:val="24"/>
                <w:szCs w:val="24"/>
              </w:rPr>
              <w:t>WA</w:t>
            </w:r>
          </w:p>
        </w:tc>
        <w:tc>
          <w:tcPr>
            <w:tcW w:w="567" w:type="dxa"/>
            <w:noWrap/>
            <w:hideMark/>
          </w:tcPr>
          <w:p w14:paraId="0A8F6E31" w14:textId="7F2D1DB3" w:rsidR="000C6AED" w:rsidRPr="00712190" w:rsidRDefault="00E7640D" w:rsidP="009E3A6E">
            <w:pPr>
              <w:rPr>
                <w:rFonts w:ascii="Arial" w:hAnsi="Arial" w:cs="Arial"/>
                <w:iCs/>
                <w:sz w:val="24"/>
                <w:szCs w:val="24"/>
              </w:rPr>
            </w:pPr>
            <w:r w:rsidRPr="00712190">
              <w:rPr>
                <w:rFonts w:ascii="Arial" w:hAnsi="Arial" w:cs="Arial"/>
                <w:iCs/>
                <w:sz w:val="24"/>
                <w:szCs w:val="24"/>
              </w:rPr>
              <w:t>SA</w:t>
            </w:r>
          </w:p>
        </w:tc>
        <w:tc>
          <w:tcPr>
            <w:tcW w:w="709" w:type="dxa"/>
            <w:noWrap/>
            <w:hideMark/>
          </w:tcPr>
          <w:p w14:paraId="3B8301CD" w14:textId="2F71A136" w:rsidR="000C6AED" w:rsidRPr="00712190" w:rsidRDefault="00E7640D" w:rsidP="00712190">
            <w:pPr>
              <w:ind w:right="-108"/>
              <w:rPr>
                <w:rFonts w:ascii="Arial" w:hAnsi="Arial" w:cs="Arial"/>
                <w:iCs/>
                <w:sz w:val="24"/>
                <w:szCs w:val="24"/>
              </w:rPr>
            </w:pPr>
            <w:r w:rsidRPr="00712190">
              <w:rPr>
                <w:rFonts w:ascii="Arial" w:hAnsi="Arial" w:cs="Arial"/>
                <w:iCs/>
                <w:sz w:val="24"/>
                <w:szCs w:val="24"/>
              </w:rPr>
              <w:t>TAS</w:t>
            </w:r>
          </w:p>
        </w:tc>
        <w:tc>
          <w:tcPr>
            <w:tcW w:w="709" w:type="dxa"/>
            <w:noWrap/>
            <w:hideMark/>
          </w:tcPr>
          <w:p w14:paraId="2BE8F190" w14:textId="4EDC8F77" w:rsidR="000C6AED" w:rsidRPr="00712190" w:rsidRDefault="00E7640D" w:rsidP="00712190">
            <w:pPr>
              <w:ind w:right="-108"/>
              <w:rPr>
                <w:rFonts w:ascii="Arial" w:hAnsi="Arial" w:cs="Arial"/>
                <w:iCs/>
                <w:sz w:val="24"/>
                <w:szCs w:val="24"/>
              </w:rPr>
            </w:pPr>
            <w:r w:rsidRPr="00712190">
              <w:rPr>
                <w:rFonts w:ascii="Arial" w:hAnsi="Arial" w:cs="Arial"/>
                <w:iCs/>
                <w:sz w:val="24"/>
                <w:szCs w:val="24"/>
              </w:rPr>
              <w:t>ACT</w:t>
            </w:r>
            <w:r w:rsidR="000C6AED" w:rsidRPr="00712190">
              <w:rPr>
                <w:rFonts w:ascii="Arial" w:hAnsi="Arial" w:cs="Arial"/>
                <w:iCs/>
                <w:sz w:val="24"/>
                <w:szCs w:val="24"/>
              </w:rPr>
              <w:t xml:space="preserve"> </w:t>
            </w:r>
          </w:p>
        </w:tc>
        <w:tc>
          <w:tcPr>
            <w:tcW w:w="567" w:type="dxa"/>
            <w:noWrap/>
            <w:hideMark/>
          </w:tcPr>
          <w:p w14:paraId="2287DDDB" w14:textId="101EDFF3" w:rsidR="000C6AED" w:rsidRPr="00712190" w:rsidRDefault="00E7640D" w:rsidP="00712190">
            <w:pPr>
              <w:ind w:right="-108"/>
              <w:rPr>
                <w:rFonts w:ascii="Arial" w:hAnsi="Arial" w:cs="Arial"/>
                <w:iCs/>
                <w:sz w:val="24"/>
                <w:szCs w:val="24"/>
              </w:rPr>
            </w:pPr>
            <w:r w:rsidRPr="00712190">
              <w:rPr>
                <w:rFonts w:ascii="Arial" w:hAnsi="Arial" w:cs="Arial"/>
                <w:iCs/>
                <w:sz w:val="24"/>
                <w:szCs w:val="24"/>
              </w:rPr>
              <w:t>NT</w:t>
            </w:r>
          </w:p>
        </w:tc>
        <w:tc>
          <w:tcPr>
            <w:tcW w:w="1559" w:type="dxa"/>
            <w:hideMark/>
          </w:tcPr>
          <w:p w14:paraId="5156EB68" w14:textId="77777777" w:rsidR="000C6AED" w:rsidRPr="00712190" w:rsidRDefault="000C6AED" w:rsidP="009E3A6E">
            <w:pPr>
              <w:rPr>
                <w:rFonts w:ascii="Arial" w:hAnsi="Arial" w:cs="Arial"/>
                <w:iCs/>
                <w:sz w:val="24"/>
                <w:szCs w:val="24"/>
              </w:rPr>
            </w:pPr>
            <w:r w:rsidRPr="00712190">
              <w:rPr>
                <w:rFonts w:ascii="Arial" w:hAnsi="Arial" w:cs="Arial"/>
                <w:iCs/>
                <w:sz w:val="24"/>
                <w:szCs w:val="24"/>
              </w:rPr>
              <w:t xml:space="preserve">Australian  Government </w:t>
            </w:r>
          </w:p>
        </w:tc>
        <w:tc>
          <w:tcPr>
            <w:tcW w:w="1417" w:type="dxa"/>
            <w:noWrap/>
            <w:hideMark/>
          </w:tcPr>
          <w:p w14:paraId="0E91CE40" w14:textId="77777777" w:rsidR="000C6AED" w:rsidRPr="00712190" w:rsidRDefault="000C6AED" w:rsidP="009E3A6E">
            <w:pPr>
              <w:rPr>
                <w:rFonts w:ascii="Arial" w:hAnsi="Arial" w:cs="Arial"/>
                <w:iCs/>
                <w:sz w:val="24"/>
                <w:szCs w:val="24"/>
              </w:rPr>
            </w:pPr>
            <w:r w:rsidRPr="00712190">
              <w:rPr>
                <w:rFonts w:ascii="Arial" w:hAnsi="Arial" w:cs="Arial"/>
                <w:iCs/>
                <w:sz w:val="24"/>
                <w:szCs w:val="24"/>
              </w:rPr>
              <w:t>Australian average</w:t>
            </w:r>
          </w:p>
        </w:tc>
      </w:tr>
      <w:tr w:rsidR="00712190" w:rsidRPr="00712190" w14:paraId="632E9399" w14:textId="77777777" w:rsidTr="00712190">
        <w:trPr>
          <w:trHeight w:val="300"/>
        </w:trPr>
        <w:tc>
          <w:tcPr>
            <w:tcW w:w="1418" w:type="dxa"/>
            <w:noWrap/>
            <w:hideMark/>
          </w:tcPr>
          <w:p w14:paraId="081C1944" w14:textId="77777777" w:rsidR="000C6AED" w:rsidRPr="00712190" w:rsidRDefault="000C6AED" w:rsidP="009E3A6E">
            <w:pPr>
              <w:rPr>
                <w:rFonts w:ascii="Arial" w:hAnsi="Arial" w:cs="Arial"/>
                <w:sz w:val="24"/>
                <w:szCs w:val="24"/>
              </w:rPr>
            </w:pPr>
            <w:r w:rsidRPr="00712190">
              <w:rPr>
                <w:rFonts w:ascii="Arial" w:hAnsi="Arial" w:cs="Arial"/>
                <w:sz w:val="24"/>
                <w:szCs w:val="24"/>
              </w:rPr>
              <w:t>%</w:t>
            </w:r>
          </w:p>
        </w:tc>
        <w:tc>
          <w:tcPr>
            <w:tcW w:w="709" w:type="dxa"/>
            <w:noWrap/>
            <w:hideMark/>
          </w:tcPr>
          <w:p w14:paraId="3901EBB1" w14:textId="77777777" w:rsidR="000C6AED" w:rsidRPr="00712190" w:rsidRDefault="000C6AED" w:rsidP="009E3A6E">
            <w:pPr>
              <w:rPr>
                <w:rFonts w:ascii="Arial" w:hAnsi="Arial" w:cs="Arial"/>
                <w:sz w:val="24"/>
                <w:szCs w:val="24"/>
              </w:rPr>
            </w:pPr>
            <w:r w:rsidRPr="00712190">
              <w:rPr>
                <w:rFonts w:ascii="Arial" w:hAnsi="Arial" w:cs="Arial"/>
                <w:sz w:val="24"/>
                <w:szCs w:val="24"/>
              </w:rPr>
              <w:t>8.4</w:t>
            </w:r>
          </w:p>
        </w:tc>
        <w:tc>
          <w:tcPr>
            <w:tcW w:w="708" w:type="dxa"/>
            <w:noWrap/>
            <w:hideMark/>
          </w:tcPr>
          <w:p w14:paraId="19BBC2AA" w14:textId="77777777" w:rsidR="000C6AED" w:rsidRPr="00712190" w:rsidRDefault="000C6AED" w:rsidP="009E3A6E">
            <w:pPr>
              <w:rPr>
                <w:rFonts w:ascii="Arial" w:hAnsi="Arial" w:cs="Arial"/>
                <w:sz w:val="24"/>
                <w:szCs w:val="24"/>
              </w:rPr>
            </w:pPr>
            <w:r w:rsidRPr="00712190">
              <w:rPr>
                <w:rFonts w:ascii="Arial" w:hAnsi="Arial" w:cs="Arial"/>
                <w:sz w:val="24"/>
                <w:szCs w:val="24"/>
              </w:rPr>
              <w:t>7.2</w:t>
            </w:r>
          </w:p>
        </w:tc>
        <w:tc>
          <w:tcPr>
            <w:tcW w:w="709" w:type="dxa"/>
            <w:noWrap/>
            <w:hideMark/>
          </w:tcPr>
          <w:p w14:paraId="5327B3AC" w14:textId="77777777" w:rsidR="000C6AED" w:rsidRPr="00712190" w:rsidRDefault="000C6AED" w:rsidP="009E3A6E">
            <w:pPr>
              <w:rPr>
                <w:rFonts w:ascii="Arial" w:hAnsi="Arial" w:cs="Arial"/>
                <w:sz w:val="24"/>
                <w:szCs w:val="24"/>
              </w:rPr>
            </w:pPr>
            <w:r w:rsidRPr="00712190">
              <w:rPr>
                <w:rFonts w:ascii="Arial" w:hAnsi="Arial" w:cs="Arial"/>
                <w:sz w:val="24"/>
                <w:szCs w:val="24"/>
              </w:rPr>
              <w:t>6.1</w:t>
            </w:r>
          </w:p>
        </w:tc>
        <w:tc>
          <w:tcPr>
            <w:tcW w:w="567" w:type="dxa"/>
            <w:noWrap/>
            <w:hideMark/>
          </w:tcPr>
          <w:p w14:paraId="3524A500" w14:textId="77777777" w:rsidR="000C6AED" w:rsidRPr="00712190" w:rsidRDefault="000C6AED" w:rsidP="009E3A6E">
            <w:pPr>
              <w:rPr>
                <w:rFonts w:ascii="Arial" w:hAnsi="Arial" w:cs="Arial"/>
                <w:sz w:val="24"/>
                <w:szCs w:val="24"/>
              </w:rPr>
            </w:pPr>
            <w:r w:rsidRPr="00712190">
              <w:rPr>
                <w:rFonts w:ascii="Arial" w:hAnsi="Arial" w:cs="Arial"/>
                <w:sz w:val="24"/>
                <w:szCs w:val="24"/>
              </w:rPr>
              <w:t>4.0</w:t>
            </w:r>
          </w:p>
        </w:tc>
        <w:tc>
          <w:tcPr>
            <w:tcW w:w="567" w:type="dxa"/>
            <w:noWrap/>
            <w:hideMark/>
          </w:tcPr>
          <w:p w14:paraId="59DAD0D5" w14:textId="77777777" w:rsidR="000C6AED" w:rsidRPr="00712190" w:rsidRDefault="000C6AED" w:rsidP="009E3A6E">
            <w:pPr>
              <w:rPr>
                <w:rFonts w:ascii="Arial" w:hAnsi="Arial" w:cs="Arial"/>
                <w:sz w:val="24"/>
                <w:szCs w:val="24"/>
              </w:rPr>
            </w:pPr>
            <w:r w:rsidRPr="00712190">
              <w:rPr>
                <w:rFonts w:ascii="Arial" w:hAnsi="Arial" w:cs="Arial"/>
                <w:sz w:val="24"/>
                <w:szCs w:val="24"/>
              </w:rPr>
              <w:t>4.5</w:t>
            </w:r>
          </w:p>
        </w:tc>
        <w:tc>
          <w:tcPr>
            <w:tcW w:w="709" w:type="dxa"/>
            <w:noWrap/>
            <w:hideMark/>
          </w:tcPr>
          <w:p w14:paraId="3A8A616F" w14:textId="77777777" w:rsidR="000C6AED" w:rsidRPr="00712190" w:rsidRDefault="000C6AED" w:rsidP="009E3A6E">
            <w:pPr>
              <w:rPr>
                <w:rFonts w:ascii="Arial" w:hAnsi="Arial" w:cs="Arial"/>
                <w:sz w:val="24"/>
                <w:szCs w:val="24"/>
              </w:rPr>
            </w:pPr>
            <w:r w:rsidRPr="00712190">
              <w:rPr>
                <w:rFonts w:ascii="Arial" w:hAnsi="Arial" w:cs="Arial"/>
                <w:sz w:val="24"/>
                <w:szCs w:val="24"/>
              </w:rPr>
              <w:t>8.0</w:t>
            </w:r>
          </w:p>
        </w:tc>
        <w:tc>
          <w:tcPr>
            <w:tcW w:w="709" w:type="dxa"/>
            <w:noWrap/>
            <w:hideMark/>
          </w:tcPr>
          <w:p w14:paraId="69C8A1EF" w14:textId="77777777" w:rsidR="000C6AED" w:rsidRPr="00712190" w:rsidRDefault="000C6AED" w:rsidP="009E3A6E">
            <w:pPr>
              <w:rPr>
                <w:rFonts w:ascii="Arial" w:hAnsi="Arial" w:cs="Arial"/>
                <w:sz w:val="24"/>
                <w:szCs w:val="24"/>
              </w:rPr>
            </w:pPr>
            <w:r w:rsidRPr="00712190">
              <w:rPr>
                <w:rFonts w:ascii="Arial" w:hAnsi="Arial" w:cs="Arial"/>
                <w:sz w:val="24"/>
                <w:szCs w:val="24"/>
              </w:rPr>
              <w:t>8.2</w:t>
            </w:r>
          </w:p>
        </w:tc>
        <w:tc>
          <w:tcPr>
            <w:tcW w:w="567" w:type="dxa"/>
            <w:noWrap/>
            <w:hideMark/>
          </w:tcPr>
          <w:p w14:paraId="50F93A05" w14:textId="77777777" w:rsidR="000C6AED" w:rsidRPr="00712190" w:rsidRDefault="000C6AED" w:rsidP="009E3A6E">
            <w:pPr>
              <w:rPr>
                <w:rFonts w:ascii="Arial" w:hAnsi="Arial" w:cs="Arial"/>
                <w:sz w:val="24"/>
                <w:szCs w:val="24"/>
              </w:rPr>
            </w:pPr>
            <w:r w:rsidRPr="00712190">
              <w:rPr>
                <w:rFonts w:ascii="Arial" w:hAnsi="Arial" w:cs="Arial"/>
                <w:sz w:val="24"/>
                <w:szCs w:val="24"/>
              </w:rPr>
              <w:t>5.3</w:t>
            </w:r>
          </w:p>
        </w:tc>
        <w:tc>
          <w:tcPr>
            <w:tcW w:w="1559" w:type="dxa"/>
            <w:noWrap/>
            <w:hideMark/>
          </w:tcPr>
          <w:p w14:paraId="0433B6C0" w14:textId="77777777" w:rsidR="000C6AED" w:rsidRPr="00712190" w:rsidRDefault="000C6AED" w:rsidP="009E3A6E">
            <w:pPr>
              <w:rPr>
                <w:rFonts w:ascii="Arial" w:hAnsi="Arial" w:cs="Arial"/>
                <w:sz w:val="24"/>
                <w:szCs w:val="24"/>
              </w:rPr>
            </w:pPr>
            <w:r w:rsidRPr="00712190">
              <w:rPr>
                <w:rFonts w:ascii="Arial" w:hAnsi="Arial" w:cs="Arial"/>
                <w:sz w:val="24"/>
                <w:szCs w:val="24"/>
              </w:rPr>
              <w:t>6.3</w:t>
            </w:r>
          </w:p>
        </w:tc>
        <w:tc>
          <w:tcPr>
            <w:tcW w:w="1417" w:type="dxa"/>
            <w:noWrap/>
            <w:hideMark/>
          </w:tcPr>
          <w:p w14:paraId="4EF68A90" w14:textId="77777777" w:rsidR="000C6AED" w:rsidRPr="00712190" w:rsidRDefault="000C6AED" w:rsidP="009E3A6E">
            <w:pPr>
              <w:rPr>
                <w:rFonts w:ascii="Arial" w:hAnsi="Arial" w:cs="Arial"/>
                <w:sz w:val="24"/>
                <w:szCs w:val="24"/>
              </w:rPr>
            </w:pPr>
            <w:r w:rsidRPr="00712190">
              <w:rPr>
                <w:rFonts w:ascii="Arial" w:hAnsi="Arial" w:cs="Arial"/>
                <w:sz w:val="24"/>
                <w:szCs w:val="24"/>
              </w:rPr>
              <w:t>6.8</w:t>
            </w:r>
          </w:p>
        </w:tc>
      </w:tr>
    </w:tbl>
    <w:p w14:paraId="1BFC9DFD" w14:textId="77777777" w:rsidR="00A05B56" w:rsidRPr="00712190" w:rsidRDefault="00A05B56">
      <w:pPr>
        <w:rPr>
          <w:rFonts w:ascii="Arial" w:hAnsi="Arial" w:cs="Arial"/>
        </w:rPr>
      </w:pPr>
    </w:p>
    <w:p w14:paraId="39F9B42E" w14:textId="396DEF0B" w:rsidR="007D1351" w:rsidRPr="007D1351" w:rsidRDefault="007D1351">
      <w:pPr>
        <w:rPr>
          <w:rFonts w:ascii="Arial" w:hAnsi="Arial"/>
        </w:rPr>
      </w:pPr>
      <w:r w:rsidRPr="007D1351">
        <w:rPr>
          <w:rFonts w:ascii="Arial" w:hAnsi="Arial"/>
        </w:rPr>
        <w:t>Western Australia has been shown to have the lowest administrative costs as a proportion of total expenditure of any state or territory for the provision of disability services. At 4 per cent, Western Australia is 2.8 per cent lower than the national average indicated in the Report on Government Services for 2012–2013</w:t>
      </w:r>
      <w:r>
        <w:rPr>
          <w:rFonts w:ascii="Arial" w:hAnsi="Arial"/>
        </w:rPr>
        <w:t>.</w:t>
      </w:r>
    </w:p>
    <w:p w14:paraId="6887780C" w14:textId="77777777" w:rsidR="007D1351" w:rsidRDefault="007D1351"/>
    <w:sectPr w:rsidR="007D1351" w:rsidSect="00241638">
      <w:pgSz w:w="11900" w:h="16840"/>
      <w:pgMar w:top="709" w:right="1694"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Pro-Regular">
    <w:altName w:val="Myriad Pro"/>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C7B98"/>
    <w:multiLevelType w:val="hybridMultilevel"/>
    <w:tmpl w:val="B4C8F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935E51"/>
    <w:multiLevelType w:val="hybridMultilevel"/>
    <w:tmpl w:val="33D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321CF"/>
    <w:multiLevelType w:val="hybridMultilevel"/>
    <w:tmpl w:val="5C48A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B0D64"/>
    <w:multiLevelType w:val="hybridMultilevel"/>
    <w:tmpl w:val="F49A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FD5481"/>
    <w:multiLevelType w:val="hybridMultilevel"/>
    <w:tmpl w:val="5394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C41DE9"/>
    <w:multiLevelType w:val="hybridMultilevel"/>
    <w:tmpl w:val="383E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E73C69"/>
    <w:multiLevelType w:val="hybridMultilevel"/>
    <w:tmpl w:val="8D3A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8B1131"/>
    <w:multiLevelType w:val="hybridMultilevel"/>
    <w:tmpl w:val="4CACE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D3890"/>
    <w:multiLevelType w:val="hybridMultilevel"/>
    <w:tmpl w:val="72B64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2D24D8"/>
    <w:multiLevelType w:val="hybridMultilevel"/>
    <w:tmpl w:val="4E520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506EBE"/>
    <w:multiLevelType w:val="hybridMultilevel"/>
    <w:tmpl w:val="8EEC9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6"/>
  </w:num>
  <w:num w:numId="4">
    <w:abstractNumId w:val="1"/>
  </w:num>
  <w:num w:numId="5">
    <w:abstractNumId w:val="8"/>
  </w:num>
  <w:num w:numId="6">
    <w:abstractNumId w:val="0"/>
  </w:num>
  <w:num w:numId="7">
    <w:abstractNumId w:val="7"/>
  </w:num>
  <w:num w:numId="8">
    <w:abstractNumId w:val="9"/>
  </w:num>
  <w:num w:numId="9">
    <w:abstractNumId w:val="5"/>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638"/>
    <w:rsid w:val="00087C72"/>
    <w:rsid w:val="000C6AED"/>
    <w:rsid w:val="00193620"/>
    <w:rsid w:val="001E17BB"/>
    <w:rsid w:val="00241638"/>
    <w:rsid w:val="002A5DBF"/>
    <w:rsid w:val="00315175"/>
    <w:rsid w:val="003A5185"/>
    <w:rsid w:val="00457641"/>
    <w:rsid w:val="00460521"/>
    <w:rsid w:val="0046169A"/>
    <w:rsid w:val="004911FF"/>
    <w:rsid w:val="00525BDF"/>
    <w:rsid w:val="005E0A6F"/>
    <w:rsid w:val="00610D0F"/>
    <w:rsid w:val="00712190"/>
    <w:rsid w:val="0079588F"/>
    <w:rsid w:val="007B53BC"/>
    <w:rsid w:val="007D1351"/>
    <w:rsid w:val="008F4309"/>
    <w:rsid w:val="009C2331"/>
    <w:rsid w:val="009F745E"/>
    <w:rsid w:val="00A05B56"/>
    <w:rsid w:val="00A11EE6"/>
    <w:rsid w:val="00A55ABF"/>
    <w:rsid w:val="00AC71BA"/>
    <w:rsid w:val="00BD1B14"/>
    <w:rsid w:val="00C87447"/>
    <w:rsid w:val="00DB4D83"/>
    <w:rsid w:val="00E7640D"/>
    <w:rsid w:val="00EB5FC1"/>
    <w:rsid w:val="00F01783"/>
    <w:rsid w:val="00FB54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AFCD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uiPriority w:val="99"/>
    <w:rsid w:val="00F01783"/>
    <w:pPr>
      <w:widowControl w:val="0"/>
      <w:suppressAutoHyphens/>
      <w:autoSpaceDE w:val="0"/>
      <w:autoSpaceDN w:val="0"/>
      <w:adjustRightInd w:val="0"/>
      <w:spacing w:after="57" w:line="320" w:lineRule="atLeast"/>
      <w:textAlignment w:val="center"/>
    </w:pPr>
    <w:rPr>
      <w:rFonts w:ascii="MyriadPro-Regular" w:eastAsia="Times New Roman" w:hAnsi="MyriadPro-Regular" w:cs="MyriadPro-Regular"/>
      <w:color w:val="00B29B"/>
      <w:sz w:val="28"/>
      <w:szCs w:val="28"/>
    </w:rPr>
  </w:style>
  <w:style w:type="paragraph" w:styleId="BalloonText">
    <w:name w:val="Balloon Text"/>
    <w:basedOn w:val="Normal"/>
    <w:link w:val="BalloonTextChar"/>
    <w:uiPriority w:val="99"/>
    <w:semiHidden/>
    <w:unhideWhenUsed/>
    <w:rsid w:val="002416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1638"/>
    <w:rPr>
      <w:rFonts w:ascii="Lucida Grande" w:hAnsi="Lucida Grande" w:cs="Lucida Grande"/>
      <w:sz w:val="18"/>
      <w:szCs w:val="18"/>
    </w:rPr>
  </w:style>
  <w:style w:type="paragraph" w:styleId="ListParagraph">
    <w:name w:val="List Paragraph"/>
    <w:basedOn w:val="Normal"/>
    <w:uiPriority w:val="34"/>
    <w:qFormat/>
    <w:rsid w:val="00241638"/>
    <w:pPr>
      <w:ind w:left="720"/>
      <w:contextualSpacing/>
    </w:pPr>
  </w:style>
  <w:style w:type="table" w:styleId="TableGrid">
    <w:name w:val="Table Grid"/>
    <w:basedOn w:val="TableNormal"/>
    <w:uiPriority w:val="59"/>
    <w:rsid w:val="000C6AED"/>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uiPriority w:val="99"/>
    <w:rsid w:val="00F01783"/>
    <w:pPr>
      <w:widowControl w:val="0"/>
      <w:suppressAutoHyphens/>
      <w:autoSpaceDE w:val="0"/>
      <w:autoSpaceDN w:val="0"/>
      <w:adjustRightInd w:val="0"/>
      <w:spacing w:after="57" w:line="320" w:lineRule="atLeast"/>
      <w:textAlignment w:val="center"/>
    </w:pPr>
    <w:rPr>
      <w:rFonts w:ascii="MyriadPro-Regular" w:eastAsia="Times New Roman" w:hAnsi="MyriadPro-Regular" w:cs="MyriadPro-Regular"/>
      <w:color w:val="00B29B"/>
      <w:sz w:val="28"/>
      <w:szCs w:val="28"/>
    </w:rPr>
  </w:style>
  <w:style w:type="paragraph" w:styleId="BalloonText">
    <w:name w:val="Balloon Text"/>
    <w:basedOn w:val="Normal"/>
    <w:link w:val="BalloonTextChar"/>
    <w:uiPriority w:val="99"/>
    <w:semiHidden/>
    <w:unhideWhenUsed/>
    <w:rsid w:val="002416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41638"/>
    <w:rPr>
      <w:rFonts w:ascii="Lucida Grande" w:hAnsi="Lucida Grande" w:cs="Lucida Grande"/>
      <w:sz w:val="18"/>
      <w:szCs w:val="18"/>
    </w:rPr>
  </w:style>
  <w:style w:type="paragraph" w:styleId="ListParagraph">
    <w:name w:val="List Paragraph"/>
    <w:basedOn w:val="Normal"/>
    <w:uiPriority w:val="34"/>
    <w:qFormat/>
    <w:rsid w:val="00241638"/>
    <w:pPr>
      <w:ind w:left="720"/>
      <w:contextualSpacing/>
    </w:pPr>
  </w:style>
  <w:style w:type="table" w:styleId="TableGrid">
    <w:name w:val="Table Grid"/>
    <w:basedOn w:val="TableNormal"/>
    <w:uiPriority w:val="59"/>
    <w:rsid w:val="000C6AED"/>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1310</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Disability Services Commission Budget Bulletin 2014–2015</dc:title>
  <dc:subject/>
  <dc:creator>Mick Everitt</dc:creator>
  <cp:keywords>Disability Services Commission Budget Bulletin 2014–2015</cp:keywords>
  <dc:description/>
  <cp:lastModifiedBy>Stephanie Chapman</cp:lastModifiedBy>
  <cp:revision>16</cp:revision>
  <dcterms:created xsi:type="dcterms:W3CDTF">2014-05-07T00:49:00Z</dcterms:created>
  <dcterms:modified xsi:type="dcterms:W3CDTF">2014-05-15T04:00:00Z</dcterms:modified>
</cp:coreProperties>
</file>