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4AA" w:rsidRPr="002E7C76" w:rsidRDefault="00C56459" w:rsidP="009244AA">
      <w:pPr>
        <w:spacing w:before="15"/>
        <w:ind w:left="-220" w:right="-174"/>
        <w:rPr>
          <w:rFonts w:ascii="Arial" w:hAnsi="Arial" w:cs="Arial"/>
          <w:color w:val="000000" w:themeColor="text1"/>
          <w:sz w:val="42"/>
        </w:rPr>
      </w:pPr>
      <w:r w:rsidRPr="002E7C76">
        <w:rPr>
          <w:rFonts w:ascii="Arial" w:hAnsi="Arial" w:cs="Arial"/>
          <w:noProof/>
          <w:color w:val="000000" w:themeColor="text1"/>
          <w:sz w:val="42"/>
          <w:lang w:val="en-AU" w:eastAsia="en-AU"/>
        </w:rPr>
        <w:drawing>
          <wp:inline distT="0" distB="0" distL="0" distR="0" wp14:anchorId="56DF1EE8" wp14:editId="48B180F9">
            <wp:extent cx="7543800" cy="1512713"/>
            <wp:effectExtent l="0" t="0" r="0" b="0"/>
            <wp:docPr id="345" name="Picture 345" descr="Disabilities Services Commision head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Word_header_thin_(with_logo)_2014.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43800" cy="1512713"/>
                    </a:xfrm>
                    <a:prstGeom prst="rect">
                      <a:avLst/>
                    </a:prstGeom>
                  </pic:spPr>
                </pic:pic>
              </a:graphicData>
            </a:graphic>
          </wp:inline>
        </w:drawing>
      </w:r>
    </w:p>
    <w:p w:rsidR="009244AA" w:rsidRPr="008F7449" w:rsidRDefault="009244AA" w:rsidP="001D59B0">
      <w:pPr>
        <w:pStyle w:val="Heading1"/>
      </w:pPr>
      <w:r w:rsidRPr="008F7449">
        <w:t>Disability Support Funding Bulletin Issue 3</w:t>
      </w:r>
    </w:p>
    <w:p w:rsidR="009244AA" w:rsidRPr="008F7449" w:rsidRDefault="009244AA" w:rsidP="001D59B0">
      <w:pPr>
        <w:pStyle w:val="Heading1"/>
      </w:pPr>
      <w:r w:rsidRPr="008F7449">
        <w:t>January 2015</w:t>
      </w:r>
      <w:r w:rsidR="00AD2DF8">
        <w:br/>
      </w:r>
    </w:p>
    <w:p w:rsidR="002F0AF0" w:rsidRPr="002E7C76" w:rsidRDefault="000F5854" w:rsidP="001D59B0">
      <w:pPr>
        <w:pStyle w:val="Heading1"/>
        <w:rPr>
          <w:rFonts w:eastAsia="Helvetica Neue Light"/>
          <w:sz w:val="48"/>
          <w:szCs w:val="48"/>
        </w:rPr>
      </w:pPr>
      <w:r w:rsidRPr="008F7449">
        <w:t>Introduction</w:t>
      </w:r>
    </w:p>
    <w:p w:rsidR="002F0AF0" w:rsidRPr="000523EC" w:rsidRDefault="000F5854" w:rsidP="001D59B0">
      <w:pPr>
        <w:pStyle w:val="BodyText"/>
      </w:pPr>
      <w:r w:rsidRPr="000523EC">
        <w:t>The Disability Support Fundin</w:t>
      </w:r>
      <w:bookmarkStart w:id="0" w:name="_GoBack"/>
      <w:bookmarkEnd w:id="0"/>
      <w:r w:rsidRPr="000523EC">
        <w:t>g Bulletin is published annually to provide an explanation of how growth funding for disability services is allocated in Western Australia.</w:t>
      </w:r>
    </w:p>
    <w:p w:rsidR="002F0AF0" w:rsidRPr="000523EC" w:rsidRDefault="000F5854" w:rsidP="001D59B0">
      <w:pPr>
        <w:pStyle w:val="BodyText"/>
      </w:pPr>
      <w:r w:rsidRPr="000523EC">
        <w:t>In 2013–14 the Disability Services Commission (Commission) received an additional $32.5 million from the State and Commonwealth Governments to expand disability services in response to growing demand.</w:t>
      </w:r>
    </w:p>
    <w:p w:rsidR="002F0AF0" w:rsidRPr="000523EC" w:rsidRDefault="000F5854" w:rsidP="001D59B0">
      <w:pPr>
        <w:pStyle w:val="BodyText"/>
      </w:pPr>
      <w:r w:rsidRPr="000523EC">
        <w:t xml:space="preserve">Currently the Commission has 24,017 people who receive supports and services of one kind or another and approximately 130 </w:t>
      </w:r>
      <w:proofErr w:type="spellStart"/>
      <w:r w:rsidRPr="000523EC">
        <w:t>organisations</w:t>
      </w:r>
      <w:proofErr w:type="spellEnd"/>
      <w:r w:rsidRPr="000523EC">
        <w:t xml:space="preserve"> are contracted to provide services on behalf of government. The number of </w:t>
      </w:r>
      <w:proofErr w:type="spellStart"/>
      <w:r w:rsidRPr="000523EC">
        <w:t>organisations</w:t>
      </w:r>
      <w:proofErr w:type="spellEnd"/>
      <w:r w:rsidRPr="000523EC">
        <w:t xml:space="preserve"> has increased from 116 in 2013–14 to meet the increased demand for services and in line with the growth in funding.</w:t>
      </w:r>
    </w:p>
    <w:p w:rsidR="002F0AF0" w:rsidRPr="000523EC" w:rsidRDefault="000F5854" w:rsidP="001D59B0">
      <w:pPr>
        <w:pStyle w:val="BodyText"/>
      </w:pPr>
      <w:r w:rsidRPr="000523EC">
        <w:t xml:space="preserve">This bulletin explains how additional funding is received by the Commission to pay for services and supports, where the money is spent and how many people benefit. This includes people with disability, families and </w:t>
      </w:r>
      <w:proofErr w:type="spellStart"/>
      <w:r w:rsidRPr="000523EC">
        <w:t>carers</w:t>
      </w:r>
      <w:proofErr w:type="spellEnd"/>
      <w:r w:rsidRPr="000523EC">
        <w:t>.</w:t>
      </w:r>
    </w:p>
    <w:p w:rsidR="002F0AF0" w:rsidRPr="002E7C76" w:rsidRDefault="002F0AF0" w:rsidP="001D59B0">
      <w:pPr>
        <w:spacing w:before="8"/>
        <w:ind w:left="630"/>
        <w:rPr>
          <w:rFonts w:ascii="Arial" w:eastAsia="Helvetica Neue Light" w:hAnsi="Arial" w:cs="Arial"/>
          <w:color w:val="000000" w:themeColor="text1"/>
          <w:sz w:val="20"/>
          <w:szCs w:val="20"/>
        </w:rPr>
      </w:pPr>
    </w:p>
    <w:p w:rsidR="002F0AF0" w:rsidRPr="000523EC" w:rsidRDefault="000F5854" w:rsidP="001D59B0">
      <w:pPr>
        <w:pStyle w:val="Heading2"/>
      </w:pPr>
      <w:r w:rsidRPr="000523EC">
        <w:t>Changes in the disability services system and the allocation of funding for services</w:t>
      </w:r>
    </w:p>
    <w:p w:rsidR="002F0AF0" w:rsidRPr="002E7C76" w:rsidRDefault="000F5854" w:rsidP="001D59B0">
      <w:pPr>
        <w:pStyle w:val="BodyText"/>
      </w:pPr>
      <w:r w:rsidRPr="002E7C76">
        <w:t xml:space="preserve">During the past five years </w:t>
      </w:r>
      <w:r w:rsidRPr="002E7C76">
        <w:rPr>
          <w:spacing w:val="-1"/>
        </w:rPr>
        <w:t>there</w:t>
      </w:r>
      <w:r w:rsidRPr="002E7C76">
        <w:t xml:space="preserve"> have been fundamental changes in the way that funding is allocated for disability services in </w:t>
      </w:r>
      <w:r w:rsidRPr="002E7C76">
        <w:rPr>
          <w:spacing w:val="-2"/>
        </w:rPr>
        <w:t>WA.</w:t>
      </w:r>
      <w:r w:rsidRPr="002E7C76">
        <w:t xml:space="preserve">  </w:t>
      </w:r>
      <w:r w:rsidRPr="002E7C76">
        <w:rPr>
          <w:spacing w:val="-9"/>
        </w:rPr>
        <w:t>Two</w:t>
      </w:r>
      <w:r w:rsidRPr="002E7C76">
        <w:t xml:space="preserve"> key changes </w:t>
      </w:r>
      <w:r w:rsidRPr="002E7C76">
        <w:rPr>
          <w:spacing w:val="-2"/>
        </w:rPr>
        <w:t>are:</w:t>
      </w:r>
    </w:p>
    <w:p w:rsidR="002F0AF0" w:rsidRPr="002E7C76" w:rsidRDefault="000F5854" w:rsidP="00354E32">
      <w:pPr>
        <w:pStyle w:val="BodyText"/>
        <w:numPr>
          <w:ilvl w:val="0"/>
          <w:numId w:val="3"/>
        </w:numPr>
      </w:pPr>
      <w:r w:rsidRPr="002E7C76">
        <w:t xml:space="preserve">a move away </w:t>
      </w:r>
      <w:r w:rsidRPr="002E7C76">
        <w:rPr>
          <w:spacing w:val="-2"/>
        </w:rPr>
        <w:t>from</w:t>
      </w:r>
      <w:r w:rsidRPr="002E7C76">
        <w:t xml:space="preserve"> the funding of </w:t>
      </w:r>
      <w:r w:rsidRPr="002E7C76">
        <w:rPr>
          <w:spacing w:val="-1"/>
        </w:rPr>
        <w:t>programs</w:t>
      </w:r>
      <w:r w:rsidRPr="002E7C76">
        <w:t xml:space="preserve"> with specific </w:t>
      </w:r>
      <w:r w:rsidRPr="002E7C76">
        <w:rPr>
          <w:spacing w:val="-1"/>
        </w:rPr>
        <w:t>program</w:t>
      </w:r>
      <w:r w:rsidRPr="002E7C76">
        <w:t xml:space="preserve"> parameters (such as</w:t>
      </w:r>
      <w:r w:rsidRPr="002E7C76">
        <w:rPr>
          <w:spacing w:val="28"/>
        </w:rPr>
        <w:t xml:space="preserve"> </w:t>
      </w:r>
      <w:r w:rsidRPr="002E7C76">
        <w:t xml:space="preserve">Accommodation Support and Alternatives to Employment) and a move </w:t>
      </w:r>
      <w:r w:rsidRPr="002E7C76">
        <w:rPr>
          <w:spacing w:val="-1"/>
        </w:rPr>
        <w:t>towards</w:t>
      </w:r>
      <w:r w:rsidRPr="002E7C76">
        <w:t xml:space="preserve"> holistic</w:t>
      </w:r>
      <w:r w:rsidRPr="002E7C76">
        <w:rPr>
          <w:spacing w:val="26"/>
        </w:rPr>
        <w:t xml:space="preserve"> </w:t>
      </w:r>
      <w:proofErr w:type="spellStart"/>
      <w:r w:rsidRPr="002E7C76">
        <w:t>individualised</w:t>
      </w:r>
      <w:proofErr w:type="spellEnd"/>
      <w:r w:rsidRPr="002E7C76">
        <w:t xml:space="preserve"> funding packages that meet a </w:t>
      </w:r>
      <w:r w:rsidRPr="002E7C76">
        <w:rPr>
          <w:spacing w:val="-3"/>
        </w:rPr>
        <w:t>person’s</w:t>
      </w:r>
      <w:r w:rsidRPr="002E7C76">
        <w:t xml:space="preserve"> individual needs and goals</w:t>
      </w:r>
    </w:p>
    <w:p w:rsidR="002F0AF0" w:rsidRPr="002E7C76" w:rsidRDefault="000F5854" w:rsidP="00354E32">
      <w:pPr>
        <w:pStyle w:val="BodyText"/>
        <w:numPr>
          <w:ilvl w:val="0"/>
          <w:numId w:val="3"/>
        </w:numPr>
      </w:pPr>
      <w:proofErr w:type="gramStart"/>
      <w:r w:rsidRPr="002E7C76">
        <w:t>a</w:t>
      </w:r>
      <w:proofErr w:type="gramEnd"/>
      <w:r w:rsidRPr="002E7C76">
        <w:t xml:space="preserve"> move away </w:t>
      </w:r>
      <w:r w:rsidRPr="002E7C76">
        <w:rPr>
          <w:spacing w:val="-2"/>
        </w:rPr>
        <w:t>from</w:t>
      </w:r>
      <w:r w:rsidRPr="002E7C76">
        <w:t xml:space="preserve"> a highly </w:t>
      </w:r>
      <w:proofErr w:type="spellStart"/>
      <w:r w:rsidRPr="002E7C76">
        <w:t>centralised</w:t>
      </w:r>
      <w:proofErr w:type="spellEnd"/>
      <w:r w:rsidRPr="002E7C76">
        <w:t xml:space="preserve"> </w:t>
      </w:r>
      <w:r w:rsidRPr="002E7C76">
        <w:rPr>
          <w:spacing w:val="-1"/>
        </w:rPr>
        <w:t>approach</w:t>
      </w:r>
      <w:r w:rsidRPr="002E7C76">
        <w:t xml:space="preserve"> to </w:t>
      </w:r>
      <w:proofErr w:type="spellStart"/>
      <w:r w:rsidRPr="002E7C76">
        <w:t>prioritising</w:t>
      </w:r>
      <w:proofErr w:type="spellEnd"/>
      <w:r w:rsidRPr="002E7C76">
        <w:t xml:space="preserve"> people for support in </w:t>
      </w:r>
      <w:proofErr w:type="spellStart"/>
      <w:r w:rsidRPr="002E7C76">
        <w:t>favour</w:t>
      </w:r>
      <w:proofErr w:type="spellEnd"/>
      <w:r w:rsidRPr="002E7C76">
        <w:rPr>
          <w:spacing w:val="26"/>
        </w:rPr>
        <w:t xml:space="preserve"> </w:t>
      </w:r>
      <w:r w:rsidRPr="002E7C76">
        <w:t>of de-</w:t>
      </w:r>
      <w:proofErr w:type="spellStart"/>
      <w:r w:rsidRPr="002E7C76">
        <w:t>centralised</w:t>
      </w:r>
      <w:proofErr w:type="spellEnd"/>
      <w:r w:rsidRPr="002E7C76">
        <w:t xml:space="preserve"> mechanisms for allocating funding for services based on the needs identified in individual plans.</w:t>
      </w:r>
    </w:p>
    <w:p w:rsidR="002F0AF0" w:rsidRPr="002E7C76" w:rsidRDefault="000F5854" w:rsidP="001D59B0">
      <w:pPr>
        <w:pStyle w:val="BodyText"/>
      </w:pPr>
      <w:r w:rsidRPr="002E7C76">
        <w:t xml:space="preserve">These changes </w:t>
      </w:r>
      <w:r w:rsidRPr="002E7C76">
        <w:rPr>
          <w:spacing w:val="-2"/>
        </w:rPr>
        <w:t>are</w:t>
      </w:r>
      <w:r w:rsidRPr="002E7C76">
        <w:t xml:space="preserve"> consistent with national </w:t>
      </w:r>
      <w:r w:rsidRPr="002E7C76">
        <w:rPr>
          <w:spacing w:val="-1"/>
        </w:rPr>
        <w:t>reforms</w:t>
      </w:r>
      <w:r w:rsidRPr="002E7C76">
        <w:t xml:space="preserve"> in disability services and the National Disability</w:t>
      </w:r>
      <w:r w:rsidRPr="002E7C76">
        <w:rPr>
          <w:spacing w:val="23"/>
        </w:rPr>
        <w:t xml:space="preserve"> </w:t>
      </w:r>
      <w:r w:rsidRPr="002E7C76">
        <w:t>Insurance Scheme (NDIS).</w:t>
      </w:r>
    </w:p>
    <w:p w:rsidR="002F0AF0" w:rsidRPr="002E7C76" w:rsidRDefault="000F5854" w:rsidP="001D59B0">
      <w:pPr>
        <w:pStyle w:val="BodyText"/>
      </w:pPr>
      <w:r w:rsidRPr="002E7C76">
        <w:t xml:space="preserve">As a consequence of these changes, the </w:t>
      </w:r>
      <w:r w:rsidRPr="002E7C76">
        <w:rPr>
          <w:spacing w:val="-1"/>
        </w:rPr>
        <w:t>relative</w:t>
      </w:r>
      <w:r w:rsidRPr="002E7C76">
        <w:t xml:space="preserve"> importance of the Combined Application </w:t>
      </w:r>
      <w:r w:rsidRPr="002E7C76">
        <w:rPr>
          <w:spacing w:val="-1"/>
        </w:rPr>
        <w:t>Process</w:t>
      </w:r>
      <w:r w:rsidRPr="002E7C76">
        <w:rPr>
          <w:spacing w:val="25"/>
        </w:rPr>
        <w:t xml:space="preserve"> </w:t>
      </w:r>
      <w:r w:rsidRPr="002E7C76">
        <w:t xml:space="preserve">(CAP) has been </w:t>
      </w:r>
      <w:r w:rsidRPr="002E7C76">
        <w:rPr>
          <w:spacing w:val="-1"/>
        </w:rPr>
        <w:t>reducing</w:t>
      </w:r>
      <w:r w:rsidRPr="002E7C76">
        <w:t xml:space="preserve"> each </w:t>
      </w:r>
      <w:r w:rsidRPr="002E7C76">
        <w:rPr>
          <w:spacing w:val="-5"/>
        </w:rPr>
        <w:t>year.</w:t>
      </w:r>
      <w:r w:rsidRPr="002E7C76">
        <w:t xml:space="preserve">  In a few years the CAP system will cease to operate when the</w:t>
      </w:r>
      <w:r w:rsidRPr="002E7C76">
        <w:rPr>
          <w:spacing w:val="25"/>
        </w:rPr>
        <w:t xml:space="preserve"> </w:t>
      </w:r>
      <w:r w:rsidRPr="002E7C76">
        <w:t xml:space="preserve">alternative systems for allocating support funding to individuals </w:t>
      </w:r>
      <w:r w:rsidRPr="002E7C76">
        <w:rPr>
          <w:spacing w:val="-2"/>
        </w:rPr>
        <w:t>are</w:t>
      </w:r>
      <w:r w:rsidRPr="002E7C76">
        <w:t xml:space="preserve"> expanded.  It should be noted</w:t>
      </w:r>
      <w:r w:rsidRPr="002E7C76">
        <w:rPr>
          <w:spacing w:val="25"/>
        </w:rPr>
        <w:t xml:space="preserve"> </w:t>
      </w:r>
      <w:r w:rsidRPr="002E7C76">
        <w:t xml:space="preserve">that the CAP system is no longer available in the </w:t>
      </w:r>
      <w:r w:rsidRPr="002E7C76">
        <w:rPr>
          <w:spacing w:val="-1"/>
        </w:rPr>
        <w:t>Western</w:t>
      </w:r>
      <w:r w:rsidRPr="002E7C76">
        <w:t xml:space="preserve"> Australian NDIS trial sites.</w:t>
      </w:r>
    </w:p>
    <w:p w:rsidR="002F0AF0" w:rsidRPr="002E7C76" w:rsidRDefault="002F0AF0" w:rsidP="001D59B0">
      <w:pPr>
        <w:spacing w:line="248" w:lineRule="auto"/>
        <w:ind w:left="630"/>
        <w:rPr>
          <w:rFonts w:ascii="Arial" w:hAnsi="Arial" w:cs="Arial"/>
          <w:color w:val="000000" w:themeColor="text1"/>
        </w:rPr>
        <w:sectPr w:rsidR="002F0AF0" w:rsidRPr="002E7C76" w:rsidSect="00C56459">
          <w:footerReference w:type="default" r:id="rId9"/>
          <w:type w:val="continuous"/>
          <w:pgSz w:w="11910" w:h="16840"/>
          <w:pgMar w:top="0" w:right="240" w:bottom="600" w:left="220" w:header="720" w:footer="402" w:gutter="0"/>
          <w:pgNumType w:start="1"/>
          <w:cols w:space="720"/>
        </w:sectPr>
      </w:pPr>
    </w:p>
    <w:p w:rsidR="002F0AF0" w:rsidRPr="002E7C76" w:rsidRDefault="000F5854" w:rsidP="001D59B0">
      <w:pPr>
        <w:pStyle w:val="BodyText"/>
      </w:pPr>
      <w:r w:rsidRPr="002E7C76">
        <w:lastRenderedPageBreak/>
        <w:t xml:space="preserve">Five years ago, most of the </w:t>
      </w:r>
      <w:r w:rsidRPr="002E7C76">
        <w:rPr>
          <w:spacing w:val="-1"/>
        </w:rPr>
        <w:t>growth</w:t>
      </w:r>
      <w:r w:rsidRPr="002E7C76">
        <w:t xml:space="preserve"> funding </w:t>
      </w:r>
      <w:r w:rsidRPr="002E7C76">
        <w:rPr>
          <w:spacing w:val="-1"/>
        </w:rPr>
        <w:t>provided</w:t>
      </w:r>
      <w:r w:rsidRPr="002E7C76">
        <w:t xml:space="preserve"> to the Commission by government was</w:t>
      </w:r>
      <w:r w:rsidRPr="002E7C76">
        <w:rPr>
          <w:spacing w:val="28"/>
        </w:rPr>
        <w:t xml:space="preserve"> </w:t>
      </w:r>
      <w:r w:rsidRPr="002E7C76">
        <w:t xml:space="preserve">allocated to individuals in critical and urgent need on the basis of </w:t>
      </w:r>
      <w:r w:rsidRPr="002E7C76">
        <w:rPr>
          <w:spacing w:val="-1"/>
        </w:rPr>
        <w:t>program</w:t>
      </w:r>
      <w:r w:rsidRPr="002E7C76">
        <w:t xml:space="preserve"> parameters.  The</w:t>
      </w:r>
      <w:r w:rsidRPr="002E7C76">
        <w:rPr>
          <w:spacing w:val="22"/>
        </w:rPr>
        <w:t xml:space="preserve"> </w:t>
      </w:r>
      <w:r w:rsidRPr="002E7C76">
        <w:rPr>
          <w:spacing w:val="-1"/>
        </w:rPr>
        <w:t>three</w:t>
      </w:r>
      <w:r w:rsidRPr="002E7C76">
        <w:t xml:space="preserve"> key </w:t>
      </w:r>
      <w:r w:rsidRPr="002E7C76">
        <w:rPr>
          <w:spacing w:val="-1"/>
        </w:rPr>
        <w:t>programs</w:t>
      </w:r>
      <w:r w:rsidRPr="002E7C76">
        <w:t xml:space="preserve"> </w:t>
      </w:r>
      <w:r w:rsidRPr="002E7C76">
        <w:rPr>
          <w:spacing w:val="-2"/>
        </w:rPr>
        <w:t>were</w:t>
      </w:r>
      <w:r w:rsidRPr="002E7C76">
        <w:t xml:space="preserve"> Accommodation Support, Intensive Family Support and Alternatives to</w:t>
      </w:r>
      <w:r w:rsidRPr="002E7C76">
        <w:rPr>
          <w:spacing w:val="30"/>
        </w:rPr>
        <w:t xml:space="preserve"> </w:t>
      </w:r>
      <w:r w:rsidRPr="002E7C76">
        <w:t>Employment.</w:t>
      </w:r>
    </w:p>
    <w:p w:rsidR="002F0AF0" w:rsidRPr="002E7C76" w:rsidRDefault="000F5854" w:rsidP="001D59B0">
      <w:pPr>
        <w:pStyle w:val="BodyText"/>
      </w:pPr>
      <w:r w:rsidRPr="002E7C76">
        <w:t xml:space="preserve">During the past five years decisive steps have been taken to </w:t>
      </w:r>
      <w:r w:rsidRPr="002E7C76">
        <w:rPr>
          <w:spacing w:val="-1"/>
        </w:rPr>
        <w:t>introduce</w:t>
      </w:r>
      <w:r w:rsidRPr="002E7C76">
        <w:t xml:space="preserve"> alternative, </w:t>
      </w:r>
      <w:r w:rsidRPr="002E7C76">
        <w:rPr>
          <w:spacing w:val="-2"/>
        </w:rPr>
        <w:t>more</w:t>
      </w:r>
      <w:r w:rsidRPr="002E7C76">
        <w:rPr>
          <w:spacing w:val="22"/>
        </w:rPr>
        <w:t xml:space="preserve"> </w:t>
      </w:r>
      <w:proofErr w:type="spellStart"/>
      <w:r w:rsidRPr="002E7C76">
        <w:t>decentralised</w:t>
      </w:r>
      <w:proofErr w:type="spellEnd"/>
      <w:r w:rsidRPr="002E7C76">
        <w:t xml:space="preserve"> mechanisms for allocating funding to people with disability </w:t>
      </w:r>
      <w:r w:rsidRPr="002E7C76">
        <w:rPr>
          <w:spacing w:val="-1"/>
        </w:rPr>
        <w:t>requiring</w:t>
      </w:r>
      <w:r w:rsidRPr="002E7C76">
        <w:t xml:space="preserve"> support.  These</w:t>
      </w:r>
      <w:r w:rsidRPr="002E7C76">
        <w:rPr>
          <w:spacing w:val="24"/>
        </w:rPr>
        <w:t xml:space="preserve"> </w:t>
      </w:r>
      <w:r w:rsidRPr="002E7C76">
        <w:t xml:space="preserve">include Community Living, Family Living, </w:t>
      </w:r>
      <w:proofErr w:type="spellStart"/>
      <w:r w:rsidRPr="002E7C76">
        <w:t>individualised</w:t>
      </w:r>
      <w:proofErr w:type="spellEnd"/>
      <w:r w:rsidRPr="002E7C76">
        <w:t xml:space="preserve"> funding for school leavers and Local </w:t>
      </w:r>
      <w:r w:rsidRPr="002E7C76">
        <w:rPr>
          <w:spacing w:val="-2"/>
        </w:rPr>
        <w:t>Area</w:t>
      </w:r>
      <w:r w:rsidRPr="002E7C76">
        <w:rPr>
          <w:spacing w:val="23"/>
        </w:rPr>
        <w:t xml:space="preserve"> </w:t>
      </w:r>
      <w:r w:rsidRPr="002E7C76">
        <w:t>Resou</w:t>
      </w:r>
      <w:r w:rsidRPr="002E7C76">
        <w:rPr>
          <w:spacing w:val="-5"/>
        </w:rPr>
        <w:t>r</w:t>
      </w:r>
      <w:r w:rsidRPr="002E7C76">
        <w:t>ce funding.</w:t>
      </w:r>
      <w:r w:rsidRPr="002E7C76">
        <w:rPr>
          <w:spacing w:val="66"/>
        </w:rPr>
        <w:t xml:space="preserve"> </w:t>
      </w:r>
      <w:r w:rsidRPr="002E7C76">
        <w:t>No</w:t>
      </w:r>
      <w:r w:rsidRPr="002E7C76">
        <w:rPr>
          <w:spacing w:val="-14"/>
        </w:rPr>
        <w:t>w</w:t>
      </w:r>
      <w:r w:rsidRPr="002E7C76">
        <w:t>, 50 per cent of g</w:t>
      </w:r>
      <w:r w:rsidRPr="002E7C76">
        <w:rPr>
          <w:spacing w:val="-5"/>
        </w:rPr>
        <w:t>r</w:t>
      </w:r>
      <w:r w:rsidRPr="002E7C76">
        <w:t>owth funding is allocated outside of CA</w:t>
      </w:r>
      <w:r w:rsidRPr="002E7C76">
        <w:rPr>
          <w:spacing w:val="-37"/>
        </w:rPr>
        <w:t>P</w:t>
      </w:r>
      <w:r w:rsidRPr="002E7C76">
        <w:t>.</w:t>
      </w:r>
    </w:p>
    <w:p w:rsidR="002F0AF0" w:rsidRPr="002E7C76" w:rsidRDefault="000F5854" w:rsidP="001D59B0">
      <w:pPr>
        <w:pStyle w:val="BodyText"/>
      </w:pPr>
      <w:r w:rsidRPr="002E7C76">
        <w:t xml:space="preserve">The majority of people with disability access funding via these </w:t>
      </w:r>
      <w:proofErr w:type="spellStart"/>
      <w:r w:rsidRPr="002E7C76">
        <w:t>decentralised</w:t>
      </w:r>
      <w:proofErr w:type="spellEnd"/>
      <w:r w:rsidRPr="002E7C76">
        <w:t xml:space="preserve"> mechanisms which allow for </w:t>
      </w:r>
      <w:r w:rsidRPr="002E7C76">
        <w:rPr>
          <w:spacing w:val="-2"/>
        </w:rPr>
        <w:t>more</w:t>
      </w:r>
      <w:r w:rsidRPr="002E7C76">
        <w:t xml:space="preserve"> timely and targeted </w:t>
      </w:r>
      <w:r w:rsidRPr="002E7C76">
        <w:rPr>
          <w:spacing w:val="-1"/>
        </w:rPr>
        <w:t>responses</w:t>
      </w:r>
      <w:r w:rsidRPr="002E7C76">
        <w:t xml:space="preserve"> to </w:t>
      </w:r>
      <w:r w:rsidRPr="002E7C76">
        <w:rPr>
          <w:spacing w:val="-1"/>
        </w:rPr>
        <w:t>address</w:t>
      </w:r>
      <w:r w:rsidRPr="002E7C76">
        <w:t xml:space="preserve"> their support </w:t>
      </w:r>
      <w:r w:rsidRPr="002E7C76">
        <w:rPr>
          <w:spacing w:val="-1"/>
        </w:rPr>
        <w:t>requirements.</w:t>
      </w:r>
    </w:p>
    <w:p w:rsidR="000523EC" w:rsidRDefault="000523EC" w:rsidP="001D59B0">
      <w:pPr>
        <w:pStyle w:val="Heading2"/>
      </w:pPr>
    </w:p>
    <w:p w:rsidR="002F0AF0" w:rsidRPr="002E7C76" w:rsidRDefault="000F5854" w:rsidP="001D59B0">
      <w:pPr>
        <w:pStyle w:val="Heading2"/>
      </w:pPr>
      <w:r w:rsidRPr="002E7C76">
        <w:t xml:space="preserve">New </w:t>
      </w:r>
      <w:proofErr w:type="spellStart"/>
      <w:r w:rsidRPr="002E7C76">
        <w:t>individualised</w:t>
      </w:r>
      <w:proofErr w:type="spellEnd"/>
      <w:r w:rsidRPr="002E7C76">
        <w:t xml:space="preserve"> funding allocated in 2013–14</w:t>
      </w:r>
    </w:p>
    <w:p w:rsidR="002F0AF0" w:rsidRPr="002E7C76" w:rsidRDefault="000F5854" w:rsidP="001D59B0">
      <w:pPr>
        <w:pStyle w:val="BodyText"/>
      </w:pPr>
      <w:r w:rsidRPr="002E7C76">
        <w:t xml:space="preserve">In 2013–14, 2,313 </w:t>
      </w:r>
      <w:r w:rsidRPr="002E7C76">
        <w:rPr>
          <w:spacing w:val="-1"/>
        </w:rPr>
        <w:t>requests</w:t>
      </w:r>
      <w:r w:rsidRPr="002E7C76">
        <w:t xml:space="preserve"> for supports and services </w:t>
      </w:r>
      <w:r w:rsidRPr="002E7C76">
        <w:rPr>
          <w:spacing w:val="-1"/>
        </w:rPr>
        <w:t>received</w:t>
      </w:r>
      <w:r w:rsidRPr="002E7C76">
        <w:t xml:space="preserve"> allocations of funding </w:t>
      </w:r>
      <w:r w:rsidRPr="002E7C76">
        <w:rPr>
          <w:spacing w:val="-2"/>
        </w:rPr>
        <w:t>from</w:t>
      </w:r>
      <w:r w:rsidRPr="002E7C76">
        <w:t xml:space="preserve"> the</w:t>
      </w:r>
      <w:r w:rsidRPr="002E7C76">
        <w:rPr>
          <w:spacing w:val="29"/>
        </w:rPr>
        <w:t xml:space="preserve"> </w:t>
      </w:r>
      <w:r w:rsidRPr="002E7C76">
        <w:t xml:space="preserve">Commission (noting that some people </w:t>
      </w:r>
      <w:r w:rsidRPr="002E7C76">
        <w:rPr>
          <w:spacing w:val="-1"/>
        </w:rPr>
        <w:t>received</w:t>
      </w:r>
      <w:r w:rsidRPr="002E7C76">
        <w:t xml:space="preserve"> multiple services and </w:t>
      </w:r>
      <w:r w:rsidRPr="002E7C76">
        <w:rPr>
          <w:spacing w:val="-2"/>
        </w:rPr>
        <w:t>are</w:t>
      </w:r>
      <w:r w:rsidRPr="002E7C76">
        <w:t xml:space="preserve"> </w:t>
      </w:r>
      <w:r w:rsidRPr="002E7C76">
        <w:rPr>
          <w:spacing w:val="-1"/>
        </w:rPr>
        <w:t>already</w:t>
      </w:r>
      <w:r w:rsidRPr="002E7C76">
        <w:t xml:space="preserve"> </w:t>
      </w:r>
      <w:r w:rsidRPr="002E7C76">
        <w:rPr>
          <w:spacing w:val="-1"/>
        </w:rPr>
        <w:t>receiving</w:t>
      </w:r>
      <w:r w:rsidRPr="002E7C76">
        <w:t xml:space="preserve"> some</w:t>
      </w:r>
      <w:r w:rsidRPr="002E7C76">
        <w:rPr>
          <w:spacing w:val="20"/>
        </w:rPr>
        <w:t xml:space="preserve"> </w:t>
      </w:r>
      <w:r w:rsidRPr="002E7C76">
        <w:t xml:space="preserve">form of support </w:t>
      </w:r>
      <w:r w:rsidRPr="002E7C76">
        <w:rPr>
          <w:spacing w:val="-2"/>
        </w:rPr>
        <w:t>from</w:t>
      </w:r>
      <w:r w:rsidRPr="002E7C76">
        <w:t xml:space="preserve"> the Commission or a Disability Support </w:t>
      </w:r>
      <w:proofErr w:type="spellStart"/>
      <w:r w:rsidRPr="002E7C76">
        <w:t>Organisation</w:t>
      </w:r>
      <w:proofErr w:type="spellEnd"/>
      <w:r w:rsidRPr="002E7C76">
        <w:t>). This included:</w:t>
      </w:r>
    </w:p>
    <w:p w:rsidR="002F0AF0" w:rsidRPr="002E7C76" w:rsidRDefault="000F5854" w:rsidP="00354E32">
      <w:pPr>
        <w:pStyle w:val="BodyText"/>
        <w:numPr>
          <w:ilvl w:val="0"/>
          <w:numId w:val="3"/>
        </w:numPr>
      </w:pPr>
      <w:r w:rsidRPr="002E7C76">
        <w:t xml:space="preserve">1,249 people who </w:t>
      </w:r>
      <w:r w:rsidRPr="002E7C76">
        <w:rPr>
          <w:spacing w:val="-1"/>
        </w:rPr>
        <w:t>received</w:t>
      </w:r>
      <w:r w:rsidRPr="002E7C76">
        <w:t xml:space="preserve"> Local </w:t>
      </w:r>
      <w:r w:rsidRPr="002E7C76">
        <w:rPr>
          <w:spacing w:val="-2"/>
        </w:rPr>
        <w:t>Area</w:t>
      </w:r>
      <w:r w:rsidRPr="002E7C76">
        <w:t xml:space="preserve"> </w:t>
      </w:r>
      <w:r w:rsidRPr="002E7C76">
        <w:rPr>
          <w:spacing w:val="-1"/>
        </w:rPr>
        <w:t>Resource</w:t>
      </w:r>
      <w:r w:rsidRPr="002E7C76">
        <w:t xml:space="preserve"> funding </w:t>
      </w:r>
      <w:r w:rsidRPr="002E7C76">
        <w:rPr>
          <w:spacing w:val="-1"/>
        </w:rPr>
        <w:t>through</w:t>
      </w:r>
      <w:r w:rsidRPr="002E7C76">
        <w:t xml:space="preserve"> their Local </w:t>
      </w:r>
      <w:r w:rsidRPr="002E7C76">
        <w:rPr>
          <w:spacing w:val="-2"/>
        </w:rPr>
        <w:t>Area</w:t>
      </w:r>
      <w:r w:rsidRPr="002E7C76">
        <w:rPr>
          <w:spacing w:val="28"/>
        </w:rPr>
        <w:t xml:space="preserve"> </w:t>
      </w:r>
      <w:r w:rsidRPr="002E7C76">
        <w:rPr>
          <w:spacing w:val="-1"/>
        </w:rPr>
        <w:t>Coordinator</w:t>
      </w:r>
      <w:r w:rsidRPr="002E7C76">
        <w:t xml:space="preserve"> and 432 people who </w:t>
      </w:r>
      <w:r w:rsidRPr="002E7C76">
        <w:rPr>
          <w:spacing w:val="-1"/>
        </w:rPr>
        <w:t>received</w:t>
      </w:r>
      <w:r w:rsidRPr="002E7C76">
        <w:t xml:space="preserve"> My </w:t>
      </w:r>
      <w:r w:rsidRPr="002E7C76">
        <w:rPr>
          <w:spacing w:val="-3"/>
        </w:rPr>
        <w:t>Way</w:t>
      </w:r>
      <w:r w:rsidRPr="002E7C76">
        <w:t xml:space="preserve"> </w:t>
      </w:r>
      <w:r w:rsidRPr="002E7C76">
        <w:rPr>
          <w:spacing w:val="-1"/>
        </w:rPr>
        <w:t>Resource</w:t>
      </w:r>
      <w:r w:rsidRPr="002E7C76">
        <w:t xml:space="preserve"> funding.</w:t>
      </w:r>
    </w:p>
    <w:p w:rsidR="002F0AF0" w:rsidRPr="002E7C76" w:rsidRDefault="000F5854" w:rsidP="00354E32">
      <w:pPr>
        <w:pStyle w:val="BodyText"/>
        <w:numPr>
          <w:ilvl w:val="0"/>
          <w:numId w:val="3"/>
        </w:numPr>
      </w:pPr>
      <w:r w:rsidRPr="002E7C76">
        <w:t xml:space="preserve">267 people who </w:t>
      </w:r>
      <w:r w:rsidRPr="002E7C76">
        <w:rPr>
          <w:spacing w:val="-1"/>
        </w:rPr>
        <w:t>received</w:t>
      </w:r>
      <w:r w:rsidRPr="002E7C76">
        <w:t xml:space="preserve"> new funding for School Leavers Support.</w:t>
      </w:r>
    </w:p>
    <w:p w:rsidR="002F0AF0" w:rsidRPr="002E7C76" w:rsidRDefault="000F5854" w:rsidP="00354E32">
      <w:pPr>
        <w:pStyle w:val="BodyText"/>
        <w:numPr>
          <w:ilvl w:val="0"/>
          <w:numId w:val="3"/>
        </w:numPr>
      </w:pPr>
      <w:r w:rsidRPr="002E7C76">
        <w:t xml:space="preserve">125 families who </w:t>
      </w:r>
      <w:r w:rsidRPr="002E7C76">
        <w:rPr>
          <w:spacing w:val="-1"/>
        </w:rPr>
        <w:t>received</w:t>
      </w:r>
      <w:r w:rsidRPr="002E7C76">
        <w:t xml:space="preserve"> funding for new Family Living Initiative plans.</w:t>
      </w:r>
    </w:p>
    <w:p w:rsidR="002F0AF0" w:rsidRPr="002E7C76" w:rsidRDefault="000F5854" w:rsidP="00354E32">
      <w:pPr>
        <w:pStyle w:val="BodyText"/>
        <w:numPr>
          <w:ilvl w:val="0"/>
          <w:numId w:val="3"/>
        </w:numPr>
      </w:pPr>
      <w:r w:rsidRPr="002E7C76">
        <w:t xml:space="preserve">74 people who </w:t>
      </w:r>
      <w:r w:rsidRPr="002E7C76">
        <w:rPr>
          <w:spacing w:val="-1"/>
        </w:rPr>
        <w:t>received</w:t>
      </w:r>
      <w:r w:rsidRPr="002E7C76">
        <w:t xml:space="preserve"> funding for Accommodation Support.  Of these, eight people</w:t>
      </w:r>
      <w:r w:rsidRPr="002E7C76">
        <w:rPr>
          <w:spacing w:val="23"/>
        </w:rPr>
        <w:t xml:space="preserve"> </w:t>
      </w:r>
      <w:r w:rsidRPr="002E7C76">
        <w:rPr>
          <w:spacing w:val="-1"/>
        </w:rPr>
        <w:t>received</w:t>
      </w:r>
      <w:r w:rsidRPr="002E7C76">
        <w:t xml:space="preserve"> funding for </w:t>
      </w:r>
      <w:r w:rsidRPr="002E7C76">
        <w:rPr>
          <w:spacing w:val="-1"/>
        </w:rPr>
        <w:t>increased</w:t>
      </w:r>
      <w:r w:rsidRPr="002E7C76">
        <w:t xml:space="preserve"> supports due to their needs changing and becoming </w:t>
      </w:r>
      <w:r w:rsidRPr="002E7C76">
        <w:rPr>
          <w:spacing w:val="-2"/>
        </w:rPr>
        <w:t>more</w:t>
      </w:r>
      <w:r w:rsidRPr="002E7C76">
        <w:rPr>
          <w:spacing w:val="20"/>
        </w:rPr>
        <w:t xml:space="preserve"> </w:t>
      </w:r>
      <w:r w:rsidRPr="002E7C76">
        <w:t>complex over time.</w:t>
      </w:r>
    </w:p>
    <w:p w:rsidR="002F0AF0" w:rsidRPr="002E7C76" w:rsidRDefault="000F5854" w:rsidP="00354E32">
      <w:pPr>
        <w:pStyle w:val="BodyText"/>
        <w:numPr>
          <w:ilvl w:val="0"/>
          <w:numId w:val="3"/>
        </w:numPr>
      </w:pPr>
      <w:r w:rsidRPr="002E7C76">
        <w:t xml:space="preserve">74 people </w:t>
      </w:r>
      <w:r w:rsidRPr="002E7C76">
        <w:rPr>
          <w:spacing w:val="-1"/>
        </w:rPr>
        <w:t>received</w:t>
      </w:r>
      <w:r w:rsidRPr="002E7C76">
        <w:t xml:space="preserve"> Intensive Family Support funding, of whom eight people </w:t>
      </w:r>
      <w:r w:rsidRPr="002E7C76">
        <w:rPr>
          <w:spacing w:val="-1"/>
        </w:rPr>
        <w:t>received</w:t>
      </w:r>
      <w:r w:rsidRPr="002E7C76">
        <w:t xml:space="preserve"> the</w:t>
      </w:r>
      <w:r w:rsidRPr="002E7C76">
        <w:rPr>
          <w:spacing w:val="26"/>
        </w:rPr>
        <w:t xml:space="preserve"> </w:t>
      </w:r>
      <w:r w:rsidRPr="002E7C76">
        <w:t xml:space="preserve">funding for additional supports due to their needs becoming </w:t>
      </w:r>
      <w:r w:rsidRPr="002E7C76">
        <w:rPr>
          <w:spacing w:val="-2"/>
        </w:rPr>
        <w:t>more</w:t>
      </w:r>
      <w:r w:rsidRPr="002E7C76">
        <w:t xml:space="preserve"> complex and changing</w:t>
      </w:r>
      <w:r w:rsidRPr="002E7C76">
        <w:rPr>
          <w:spacing w:val="23"/>
        </w:rPr>
        <w:t xml:space="preserve"> </w:t>
      </w:r>
      <w:r w:rsidRPr="002E7C76">
        <w:t>over time.</w:t>
      </w:r>
    </w:p>
    <w:p w:rsidR="002F0AF0" w:rsidRPr="002E7C76" w:rsidRDefault="000F5854" w:rsidP="00354E32">
      <w:pPr>
        <w:pStyle w:val="BodyText"/>
        <w:numPr>
          <w:ilvl w:val="0"/>
          <w:numId w:val="3"/>
        </w:numPr>
      </w:pPr>
      <w:r w:rsidRPr="002E7C76">
        <w:t xml:space="preserve">54 people who </w:t>
      </w:r>
      <w:r w:rsidRPr="002E7C76">
        <w:rPr>
          <w:spacing w:val="-1"/>
        </w:rPr>
        <w:t>received</w:t>
      </w:r>
      <w:r w:rsidRPr="002E7C76">
        <w:t xml:space="preserve"> funding for Alternatives to Employment.  Of these, two people</w:t>
      </w:r>
      <w:r w:rsidRPr="002E7C76">
        <w:rPr>
          <w:spacing w:val="27"/>
        </w:rPr>
        <w:t xml:space="preserve"> </w:t>
      </w:r>
      <w:r w:rsidRPr="002E7C76">
        <w:rPr>
          <w:spacing w:val="-1"/>
        </w:rPr>
        <w:t>received</w:t>
      </w:r>
      <w:r w:rsidRPr="002E7C76">
        <w:t xml:space="preserve"> funding for </w:t>
      </w:r>
      <w:r w:rsidRPr="002E7C76">
        <w:rPr>
          <w:spacing w:val="-1"/>
        </w:rPr>
        <w:t>increased</w:t>
      </w:r>
      <w:r w:rsidRPr="002E7C76">
        <w:t xml:space="preserve"> supports due to their needs changing and becoming </w:t>
      </w:r>
      <w:r w:rsidRPr="002E7C76">
        <w:rPr>
          <w:spacing w:val="-2"/>
        </w:rPr>
        <w:t>more</w:t>
      </w:r>
      <w:r w:rsidRPr="002E7C76">
        <w:rPr>
          <w:spacing w:val="20"/>
        </w:rPr>
        <w:t xml:space="preserve"> </w:t>
      </w:r>
      <w:r w:rsidRPr="002E7C76">
        <w:t>complex over time.</w:t>
      </w:r>
    </w:p>
    <w:p w:rsidR="002F0AF0" w:rsidRPr="002E7C76" w:rsidRDefault="000F5854" w:rsidP="00354E32">
      <w:pPr>
        <w:pStyle w:val="BodyText"/>
        <w:numPr>
          <w:ilvl w:val="0"/>
          <w:numId w:val="3"/>
        </w:numPr>
      </w:pPr>
      <w:r w:rsidRPr="002E7C76">
        <w:t xml:space="preserve">47 people who </w:t>
      </w:r>
      <w:r w:rsidRPr="002E7C76">
        <w:rPr>
          <w:spacing w:val="-1"/>
        </w:rPr>
        <w:t>received</w:t>
      </w:r>
      <w:r w:rsidRPr="002E7C76">
        <w:t xml:space="preserve"> funding for new Community Living Initiative plans.</w:t>
      </w:r>
    </w:p>
    <w:p w:rsidR="002F0AF0" w:rsidRPr="002E7C76" w:rsidRDefault="000F5854" w:rsidP="001D59B0">
      <w:pPr>
        <w:pStyle w:val="BodyText"/>
      </w:pPr>
      <w:r w:rsidRPr="002E7C76">
        <w:t xml:space="preserve">Over the next few years, individuals will be allocated funding on the basis of the </w:t>
      </w:r>
      <w:r w:rsidRPr="002E7C76">
        <w:rPr>
          <w:spacing w:val="-1"/>
        </w:rPr>
        <w:t>‘reasonable</w:t>
      </w:r>
      <w:r w:rsidRPr="002E7C76">
        <w:t xml:space="preserve"> and</w:t>
      </w:r>
      <w:r w:rsidRPr="002E7C76">
        <w:rPr>
          <w:spacing w:val="26"/>
        </w:rPr>
        <w:t xml:space="preserve"> </w:t>
      </w:r>
      <w:r w:rsidRPr="002E7C76">
        <w:t xml:space="preserve">necessary’ supports they </w:t>
      </w:r>
      <w:r w:rsidRPr="002E7C76">
        <w:rPr>
          <w:spacing w:val="-2"/>
        </w:rPr>
        <w:t>require,</w:t>
      </w:r>
      <w:r w:rsidRPr="002E7C76">
        <w:t xml:space="preserve"> as outlined in </w:t>
      </w:r>
      <w:proofErr w:type="spellStart"/>
      <w:r w:rsidRPr="002E7C76">
        <w:t>individualised</w:t>
      </w:r>
      <w:proofErr w:type="spellEnd"/>
      <w:r w:rsidRPr="002E7C76">
        <w:t xml:space="preserve"> plans.</w:t>
      </w:r>
    </w:p>
    <w:p w:rsidR="00FE0ECF" w:rsidRDefault="00FE0ECF" w:rsidP="001D59B0">
      <w:pPr>
        <w:pStyle w:val="Heading2"/>
      </w:pPr>
    </w:p>
    <w:p w:rsidR="002F0AF0" w:rsidRPr="002E7C76" w:rsidRDefault="000F5854" w:rsidP="001D59B0">
      <w:pPr>
        <w:pStyle w:val="Heading2"/>
      </w:pPr>
      <w:r w:rsidRPr="002E7C76">
        <w:t xml:space="preserve">Allocation of </w:t>
      </w:r>
      <w:r w:rsidRPr="002E7C76">
        <w:rPr>
          <w:spacing w:val="-2"/>
        </w:rPr>
        <w:t>growth</w:t>
      </w:r>
      <w:r w:rsidRPr="002E7C76">
        <w:t xml:space="preserve"> funding in 2013–14</w:t>
      </w:r>
    </w:p>
    <w:p w:rsidR="002F0AF0" w:rsidRPr="002E7C76" w:rsidRDefault="000F5854" w:rsidP="001D59B0">
      <w:pPr>
        <w:pStyle w:val="BodyText"/>
      </w:pPr>
      <w:r w:rsidRPr="002E7C76">
        <w:t xml:space="preserve">Funding for people with disability to access supports and services has been </w:t>
      </w:r>
      <w:r w:rsidRPr="002E7C76">
        <w:rPr>
          <w:spacing w:val="-1"/>
        </w:rPr>
        <w:t>growing</w:t>
      </w:r>
      <w:r w:rsidRPr="002E7C76">
        <w:t xml:space="preserve"> at an average</w:t>
      </w:r>
      <w:r w:rsidRPr="002E7C76">
        <w:rPr>
          <w:spacing w:val="22"/>
        </w:rPr>
        <w:t xml:space="preserve"> </w:t>
      </w:r>
      <w:r w:rsidRPr="002E7C76">
        <w:t>of</w:t>
      </w:r>
      <w:r w:rsidRPr="002E7C76">
        <w:rPr>
          <w:spacing w:val="-1"/>
        </w:rPr>
        <w:t xml:space="preserve"> </w:t>
      </w:r>
      <w:r w:rsidRPr="002E7C76">
        <w:t>13</w:t>
      </w:r>
      <w:r w:rsidRPr="002E7C76">
        <w:rPr>
          <w:spacing w:val="-1"/>
        </w:rPr>
        <w:t xml:space="preserve"> </w:t>
      </w:r>
      <w:r w:rsidRPr="002E7C76">
        <w:t>per</w:t>
      </w:r>
      <w:r w:rsidRPr="002E7C76">
        <w:rPr>
          <w:spacing w:val="-1"/>
        </w:rPr>
        <w:t xml:space="preserve"> </w:t>
      </w:r>
      <w:r w:rsidRPr="002E7C76">
        <w:t>cent</w:t>
      </w:r>
      <w:r w:rsidRPr="002E7C76">
        <w:rPr>
          <w:spacing w:val="-1"/>
        </w:rPr>
        <w:t xml:space="preserve"> </w:t>
      </w:r>
      <w:r w:rsidRPr="002E7C76">
        <w:t>each</w:t>
      </w:r>
      <w:r w:rsidRPr="002E7C76">
        <w:rPr>
          <w:spacing w:val="-1"/>
        </w:rPr>
        <w:t xml:space="preserve"> </w:t>
      </w:r>
      <w:r w:rsidRPr="002E7C76">
        <w:t>year</w:t>
      </w:r>
      <w:r w:rsidRPr="002E7C76">
        <w:rPr>
          <w:spacing w:val="-1"/>
        </w:rPr>
        <w:t xml:space="preserve"> </w:t>
      </w:r>
      <w:r w:rsidRPr="002E7C76">
        <w:t>for</w:t>
      </w:r>
      <w:r w:rsidRPr="002E7C76">
        <w:rPr>
          <w:spacing w:val="-1"/>
        </w:rPr>
        <w:t xml:space="preserve"> </w:t>
      </w:r>
      <w:r w:rsidRPr="002E7C76">
        <w:t>the</w:t>
      </w:r>
      <w:r w:rsidRPr="002E7C76">
        <w:rPr>
          <w:spacing w:val="-1"/>
        </w:rPr>
        <w:t xml:space="preserve"> </w:t>
      </w:r>
      <w:r w:rsidRPr="002E7C76">
        <w:t>past</w:t>
      </w:r>
      <w:r w:rsidRPr="002E7C76">
        <w:rPr>
          <w:spacing w:val="-1"/>
        </w:rPr>
        <w:t xml:space="preserve"> </w:t>
      </w:r>
      <w:r w:rsidRPr="002E7C76">
        <w:t>five</w:t>
      </w:r>
      <w:r w:rsidRPr="002E7C76">
        <w:rPr>
          <w:spacing w:val="-1"/>
        </w:rPr>
        <w:t xml:space="preserve"> </w:t>
      </w:r>
      <w:r w:rsidRPr="002E7C76">
        <w:t>years.</w:t>
      </w:r>
      <w:r w:rsidRPr="002E7C76">
        <w:rPr>
          <w:spacing w:val="65"/>
        </w:rPr>
        <w:t xml:space="preserve"> </w:t>
      </w:r>
      <w:r w:rsidRPr="002E7C76">
        <w:t>In</w:t>
      </w:r>
      <w:r w:rsidRPr="002E7C76">
        <w:rPr>
          <w:spacing w:val="-1"/>
        </w:rPr>
        <w:t xml:space="preserve"> </w:t>
      </w:r>
      <w:r w:rsidRPr="002E7C76">
        <w:t>2013–14</w:t>
      </w:r>
      <w:r w:rsidRPr="002E7C76">
        <w:rPr>
          <w:spacing w:val="-1"/>
        </w:rPr>
        <w:t xml:space="preserve"> </w:t>
      </w:r>
      <w:r w:rsidRPr="002E7C76">
        <w:t>the</w:t>
      </w:r>
      <w:r w:rsidRPr="002E7C76">
        <w:rPr>
          <w:spacing w:val="-1"/>
        </w:rPr>
        <w:t xml:space="preserve"> </w:t>
      </w:r>
      <w:r w:rsidRPr="002E7C76">
        <w:t>Commission</w:t>
      </w:r>
      <w:r w:rsidRPr="002E7C76">
        <w:rPr>
          <w:spacing w:val="-1"/>
        </w:rPr>
        <w:t xml:space="preserve"> received </w:t>
      </w:r>
      <w:r w:rsidRPr="002E7C76">
        <w:t>an</w:t>
      </w:r>
      <w:r w:rsidRPr="002E7C76">
        <w:rPr>
          <w:spacing w:val="-1"/>
        </w:rPr>
        <w:t xml:space="preserve"> </w:t>
      </w:r>
      <w:r w:rsidRPr="002E7C76">
        <w:t>additional</w:t>
      </w:r>
    </w:p>
    <w:p w:rsidR="002F0AF0" w:rsidRPr="002E7C76" w:rsidRDefault="000F5854" w:rsidP="001D59B0">
      <w:pPr>
        <w:pStyle w:val="BodyText"/>
      </w:pPr>
      <w:proofErr w:type="gramStart"/>
      <w:r w:rsidRPr="002E7C76">
        <w:t xml:space="preserve">$32.5 million </w:t>
      </w:r>
      <w:r w:rsidRPr="002E7C76">
        <w:rPr>
          <w:spacing w:val="-2"/>
        </w:rPr>
        <w:t>from</w:t>
      </w:r>
      <w:r w:rsidRPr="002E7C76">
        <w:t xml:space="preserve"> the State and Commonwealth Governments to expand services.</w:t>
      </w:r>
      <w:proofErr w:type="gramEnd"/>
    </w:p>
    <w:p w:rsidR="002D5707" w:rsidRDefault="000F5854" w:rsidP="001D59B0">
      <w:pPr>
        <w:pStyle w:val="BodyText"/>
      </w:pPr>
      <w:r w:rsidRPr="002E7C76">
        <w:t xml:space="preserve">The Commission </w:t>
      </w:r>
      <w:r w:rsidRPr="002E7C76">
        <w:rPr>
          <w:spacing w:val="-1"/>
        </w:rPr>
        <w:t>directs</w:t>
      </w:r>
      <w:r w:rsidRPr="002E7C76">
        <w:t xml:space="preserve"> all available </w:t>
      </w:r>
      <w:r w:rsidRPr="002E7C76">
        <w:rPr>
          <w:spacing w:val="-1"/>
        </w:rPr>
        <w:t>growth</w:t>
      </w:r>
      <w:r w:rsidRPr="002E7C76">
        <w:t xml:space="preserve"> funding to </w:t>
      </w:r>
      <w:r w:rsidRPr="002E7C76">
        <w:rPr>
          <w:spacing w:val="-1"/>
        </w:rPr>
        <w:t>purchase</w:t>
      </w:r>
      <w:r w:rsidRPr="002E7C76">
        <w:t xml:space="preserve"> services and supports for people</w:t>
      </w:r>
      <w:r w:rsidRPr="002E7C76">
        <w:rPr>
          <w:spacing w:val="26"/>
        </w:rPr>
        <w:t xml:space="preserve"> </w:t>
      </w:r>
      <w:r w:rsidRPr="002E7C76">
        <w:t xml:space="preserve">with disability and continues to have the lowest administrative costs in disability services when </w:t>
      </w:r>
      <w:r w:rsidRPr="002E7C76">
        <w:rPr>
          <w:spacing w:val="-1"/>
        </w:rPr>
        <w:t>compared</w:t>
      </w:r>
      <w:r w:rsidRPr="002E7C76">
        <w:t xml:space="preserve"> with all other jurisdictions.</w:t>
      </w:r>
    </w:p>
    <w:p w:rsidR="002D5707" w:rsidRDefault="002D5707" w:rsidP="001D59B0">
      <w:pPr>
        <w:ind w:left="630"/>
        <w:rPr>
          <w:rFonts w:ascii="Arial" w:eastAsia="Helvetica Neue Light" w:hAnsi="Arial" w:cs="Arial"/>
          <w:color w:val="000000" w:themeColor="text1"/>
          <w:sz w:val="24"/>
          <w:szCs w:val="24"/>
        </w:rPr>
      </w:pPr>
      <w:r>
        <w:br w:type="page"/>
      </w:r>
    </w:p>
    <w:p w:rsidR="002D5707" w:rsidRPr="002D5707" w:rsidRDefault="002D5707" w:rsidP="001D59B0">
      <w:pPr>
        <w:pStyle w:val="BodyText"/>
      </w:pPr>
    </w:p>
    <w:p w:rsidR="002F0AF0" w:rsidRPr="002E7C76" w:rsidRDefault="000F5854" w:rsidP="001D59B0">
      <w:pPr>
        <w:pStyle w:val="BodyText"/>
      </w:pPr>
      <w:r w:rsidRPr="002E7C76">
        <w:rPr>
          <w:b/>
          <w:spacing w:val="-27"/>
        </w:rPr>
        <w:t>T</w:t>
      </w:r>
      <w:r w:rsidRPr="002E7C76">
        <w:rPr>
          <w:b/>
        </w:rPr>
        <w:t xml:space="preserve">able 1 </w:t>
      </w:r>
      <w:r w:rsidR="002D5707">
        <w:t>below</w:t>
      </w:r>
      <w:r w:rsidRPr="002E7C76">
        <w:t xml:space="preserve"> shows the allocation of</w:t>
      </w:r>
      <w:r w:rsidRPr="002E7C76">
        <w:rPr>
          <w:spacing w:val="-1"/>
        </w:rPr>
        <w:t xml:space="preserve"> </w:t>
      </w:r>
      <w:r w:rsidRPr="002E7C76">
        <w:rPr>
          <w:b/>
        </w:rPr>
        <w:t xml:space="preserve">$26.8 </w:t>
      </w:r>
      <w:r w:rsidRPr="002E7C76">
        <w:t>million of the g</w:t>
      </w:r>
      <w:r w:rsidRPr="002E7C76">
        <w:rPr>
          <w:spacing w:val="-5"/>
        </w:rPr>
        <w:t>r</w:t>
      </w:r>
      <w:r w:rsidRPr="002E7C76">
        <w:t xml:space="preserve">owth funding. The </w:t>
      </w:r>
      <w:r w:rsidRPr="002E7C76">
        <w:rPr>
          <w:spacing w:val="-1"/>
        </w:rPr>
        <w:t>remainder</w:t>
      </w:r>
      <w:r w:rsidRPr="002E7C76">
        <w:t xml:space="preserve"> of the </w:t>
      </w:r>
      <w:r w:rsidRPr="002E7C76">
        <w:rPr>
          <w:spacing w:val="-1"/>
        </w:rPr>
        <w:t>growth</w:t>
      </w:r>
      <w:r w:rsidRPr="002E7C76">
        <w:t xml:space="preserve"> funding </w:t>
      </w:r>
      <w:r w:rsidRPr="002E7C76">
        <w:rPr>
          <w:spacing w:val="-1"/>
        </w:rPr>
        <w:t>provided</w:t>
      </w:r>
      <w:r w:rsidRPr="002E7C76">
        <w:t xml:space="preserve"> by government </w:t>
      </w:r>
      <w:r w:rsidRPr="002E7C76">
        <w:rPr>
          <w:spacing w:val="-1"/>
        </w:rPr>
        <w:t>(approximately</w:t>
      </w:r>
      <w:r w:rsidRPr="002E7C76">
        <w:t xml:space="preserve"> $5 million) was used</w:t>
      </w:r>
      <w:r w:rsidRPr="002E7C76">
        <w:rPr>
          <w:spacing w:val="42"/>
        </w:rPr>
        <w:t xml:space="preserve"> </w:t>
      </w:r>
      <w:r w:rsidRPr="002E7C76">
        <w:t xml:space="preserve">to </w:t>
      </w:r>
      <w:r w:rsidRPr="002E7C76">
        <w:rPr>
          <w:spacing w:val="-1"/>
        </w:rPr>
        <w:t>increase</w:t>
      </w:r>
      <w:r w:rsidRPr="002E7C76">
        <w:t xml:space="preserve"> service capacity in </w:t>
      </w:r>
      <w:r w:rsidRPr="002E7C76">
        <w:rPr>
          <w:spacing w:val="-1"/>
        </w:rPr>
        <w:t>areas</w:t>
      </w:r>
      <w:r w:rsidRPr="002E7C76">
        <w:t xml:space="preserve"> such as </w:t>
      </w:r>
      <w:r w:rsidRPr="002E7C76">
        <w:rPr>
          <w:spacing w:val="-1"/>
        </w:rPr>
        <w:t>respite</w:t>
      </w:r>
      <w:r w:rsidRPr="002E7C76">
        <w:t xml:space="preserve"> services, aids and equipment, disability</w:t>
      </w:r>
    </w:p>
    <w:p w:rsidR="002F0AF0" w:rsidRPr="002E7C76" w:rsidRDefault="000F5854" w:rsidP="001D59B0">
      <w:pPr>
        <w:pStyle w:val="BodyText"/>
      </w:pPr>
      <w:proofErr w:type="gramStart"/>
      <w:r w:rsidRPr="002E7C76">
        <w:rPr>
          <w:spacing w:val="-1"/>
        </w:rPr>
        <w:t>professional</w:t>
      </w:r>
      <w:proofErr w:type="gramEnd"/>
      <w:r w:rsidRPr="002E7C76">
        <w:t xml:space="preserve"> services and continence management.  Most of these funds </w:t>
      </w:r>
      <w:r w:rsidRPr="002E7C76">
        <w:rPr>
          <w:spacing w:val="-2"/>
        </w:rPr>
        <w:t>were</w:t>
      </w:r>
      <w:r w:rsidRPr="002E7C76">
        <w:t xml:space="preserve"> allocated via block</w:t>
      </w:r>
      <w:r w:rsidRPr="002E7C76">
        <w:rPr>
          <w:spacing w:val="20"/>
        </w:rPr>
        <w:t xml:space="preserve"> </w:t>
      </w:r>
      <w:r w:rsidRPr="002E7C76">
        <w:t xml:space="preserve">funding or place based funding arrangements with disability sector </w:t>
      </w:r>
      <w:proofErr w:type="spellStart"/>
      <w:r w:rsidRPr="002E7C76">
        <w:t>organisations</w:t>
      </w:r>
      <w:proofErr w:type="spellEnd"/>
      <w:r w:rsidRPr="002E7C76">
        <w:t>.</w:t>
      </w:r>
    </w:p>
    <w:p w:rsidR="002D5707" w:rsidRDefault="002D5707" w:rsidP="001D59B0">
      <w:pPr>
        <w:pStyle w:val="Heading2"/>
        <w:rPr>
          <w:spacing w:val="-27"/>
        </w:rPr>
      </w:pPr>
    </w:p>
    <w:p w:rsidR="002F0AF0" w:rsidRPr="002E7C76" w:rsidRDefault="00353022" w:rsidP="001D59B0">
      <w:pPr>
        <w:pStyle w:val="Heading2"/>
        <w:rPr>
          <w:b w:val="0"/>
          <w:bCs/>
        </w:rPr>
      </w:pPr>
      <w:r w:rsidRPr="002E7C76">
        <w:rPr>
          <w:noProof/>
          <w:lang w:val="en-AU" w:eastAsia="en-AU"/>
        </w:rPr>
        <mc:AlternateContent>
          <mc:Choice Requires="wpg">
            <w:drawing>
              <wp:anchor distT="0" distB="0" distL="114300" distR="114300" simplePos="0" relativeHeight="503301032" behindDoc="1" locked="0" layoutInCell="1" allowOverlap="1" wp14:anchorId="1E16EBF2" wp14:editId="706676D5">
                <wp:simplePos x="0" y="0"/>
                <wp:positionH relativeFrom="page">
                  <wp:posOffset>3514725</wp:posOffset>
                </wp:positionH>
                <wp:positionV relativeFrom="paragraph">
                  <wp:posOffset>806450</wp:posOffset>
                </wp:positionV>
                <wp:extent cx="318135" cy="635635"/>
                <wp:effectExtent l="9525" t="6350" r="15240" b="5715"/>
                <wp:wrapNone/>
                <wp:docPr id="322" name="Group 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8135" cy="635635"/>
                          <a:chOff x="5535" y="1270"/>
                          <a:chExt cx="501" cy="1001"/>
                        </a:xfrm>
                      </wpg:grpSpPr>
                      <wps:wsp>
                        <wps:cNvPr id="323" name="Freeform 323"/>
                        <wps:cNvSpPr>
                          <a:spLocks/>
                        </wps:cNvSpPr>
                        <wps:spPr bwMode="auto">
                          <a:xfrm>
                            <a:off x="5535" y="1270"/>
                            <a:ext cx="501" cy="1001"/>
                          </a:xfrm>
                          <a:custGeom>
                            <a:avLst/>
                            <a:gdLst>
                              <a:gd name="T0" fmla="+- 0 5535 5535"/>
                              <a:gd name="T1" fmla="*/ T0 w 501"/>
                              <a:gd name="T2" fmla="+- 0 2271 1270"/>
                              <a:gd name="T3" fmla="*/ 2271 h 1001"/>
                              <a:gd name="T4" fmla="+- 0 6036 5535"/>
                              <a:gd name="T5" fmla="*/ T4 w 501"/>
                              <a:gd name="T6" fmla="+- 0 1770 1270"/>
                              <a:gd name="T7" fmla="*/ 1770 h 1001"/>
                              <a:gd name="T8" fmla="+- 0 5535 5535"/>
                              <a:gd name="T9" fmla="*/ T8 w 501"/>
                              <a:gd name="T10" fmla="+- 0 1270 1270"/>
                              <a:gd name="T11" fmla="*/ 1270 h 1001"/>
                            </a:gdLst>
                            <a:ahLst/>
                            <a:cxnLst>
                              <a:cxn ang="0">
                                <a:pos x="T1" y="T3"/>
                              </a:cxn>
                              <a:cxn ang="0">
                                <a:pos x="T5" y="T7"/>
                              </a:cxn>
                              <a:cxn ang="0">
                                <a:pos x="T9" y="T11"/>
                              </a:cxn>
                            </a:cxnLst>
                            <a:rect l="0" t="0" r="r" b="b"/>
                            <a:pathLst>
                              <a:path w="501" h="1001">
                                <a:moveTo>
                                  <a:pt x="0" y="1001"/>
                                </a:moveTo>
                                <a:lnTo>
                                  <a:pt x="501" y="500"/>
                                </a:lnTo>
                                <a:lnTo>
                                  <a:pt x="0" y="0"/>
                                </a:lnTo>
                              </a:path>
                            </a:pathLst>
                          </a:custGeom>
                          <a:noFill/>
                          <a:ln w="3962">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22" o:spid="_x0000_s1026" style="position:absolute;margin-left:276.75pt;margin-top:63.5pt;width:25.05pt;height:50.05pt;z-index:-15448;mso-position-horizontal-relative:page" coordorigin="5535,1270" coordsize="501,1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">
                <v:shape id="Freeform 323" o:spid="_x0000_s1027" style="position:absolute;left:5535;top:1270;width:501;height:1001;visibility:visible;mso-wrap-style:square;v-text-anchor:top" coordsize="501,10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1V5sIA&#10;AADcAAAADwAAAGRycy9kb3ducmV2LnhtbESP3YrCMBSE74V9h3AWvNPU35VqFHdFUO+2+gCH5tgW&#10;m5OSxNp9+40geDnMzDfMatOZWrTkfGVZwWiYgCDOra64UHA57wcLED4ga6wtk4I/8rBZf/RWmGr7&#10;4F9qs1CICGGfooIyhCaV0uclGfRD2xBH72qdwRClK6R2+IhwU8txksylwYrjQokN/ZSU37K7UXDd&#10;zY8ze5p+033rMWtzt/DnL6X6n912CSJQF97hV/ugFUzGE3ieiUd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VXmwgAAANwAAAAPAAAAAAAAAAAAAAAAAJgCAABkcnMvZG93&#10;bnJldi54bWxQSwUGAAAAAAQABAD1AAAAhwMAAAAA&#10;" path="m,1001l501,500,,e" filled="f" strokecolor="#231f20" strokeweight=".1101mm">
                  <v:path arrowok="t" o:connecttype="custom" o:connectlocs="0,2271;501,1770;0,1270" o:connectangles="0,0,0"/>
                </v:shape>
                <w10:wrap anchorx="page"/>
              </v:group>
            </w:pict>
          </mc:Fallback>
        </mc:AlternateContent>
      </w:r>
      <w:r w:rsidR="000F5854" w:rsidRPr="002E7C76">
        <w:rPr>
          <w:spacing w:val="-27"/>
        </w:rPr>
        <w:t>T</w:t>
      </w:r>
      <w:r w:rsidR="000F5854" w:rsidRPr="002E7C76">
        <w:t>able 1: Funding allocated in 2013–14 for ongoing support for individuals</w:t>
      </w:r>
    </w:p>
    <w:tbl>
      <w:tblPr>
        <w:tblW w:w="0" w:type="auto"/>
        <w:tblInd w:w="714" w:type="dxa"/>
        <w:tblLayout w:type="fixed"/>
        <w:tblCellMar>
          <w:left w:w="0" w:type="dxa"/>
          <w:right w:w="0" w:type="dxa"/>
        </w:tblCellMar>
        <w:tblLook w:val="01E0" w:firstRow="1" w:lastRow="1" w:firstColumn="1" w:lastColumn="1" w:noHBand="0" w:noVBand="0"/>
      </w:tblPr>
      <w:tblGrid>
        <w:gridCol w:w="5753"/>
        <w:gridCol w:w="2205"/>
        <w:gridCol w:w="2209"/>
      </w:tblGrid>
      <w:tr w:rsidR="002E7C76" w:rsidRPr="002E7C76" w:rsidTr="001D59B0">
        <w:trPr>
          <w:trHeight w:hRule="exact" w:val="1979"/>
        </w:trPr>
        <w:tc>
          <w:tcPr>
            <w:tcW w:w="5753" w:type="dxa"/>
            <w:tcBorders>
              <w:top w:val="single" w:sz="4" w:space="0" w:color="8DB3E1"/>
              <w:left w:val="single" w:sz="4" w:space="0" w:color="8DB3E1"/>
              <w:bottom w:val="single" w:sz="4" w:space="0" w:color="8DB3E1"/>
              <w:right w:val="nil"/>
            </w:tcBorders>
            <w:shd w:val="clear" w:color="auto" w:fill="DBE4F0"/>
          </w:tcPr>
          <w:p w:rsidR="002F0AF0" w:rsidRPr="002E7C76" w:rsidRDefault="000F5854" w:rsidP="001D59B0">
            <w:pPr>
              <w:pStyle w:val="TableParagraph"/>
              <w:spacing w:before="178" w:line="245" w:lineRule="auto"/>
              <w:ind w:left="630" w:right="387"/>
              <w:rPr>
                <w:rFonts w:ascii="Arial" w:eastAsia="Helvetica Neue" w:hAnsi="Arial" w:cs="Arial"/>
                <w:color w:val="000000" w:themeColor="text1"/>
                <w:sz w:val="24"/>
                <w:szCs w:val="24"/>
              </w:rPr>
            </w:pPr>
            <w:proofErr w:type="spellStart"/>
            <w:r w:rsidRPr="002E7C76">
              <w:rPr>
                <w:rFonts w:ascii="Arial" w:hAnsi="Arial" w:cs="Arial"/>
                <w:b/>
                <w:color w:val="000000" w:themeColor="text1"/>
                <w:sz w:val="24"/>
              </w:rPr>
              <w:t>Individualised</w:t>
            </w:r>
            <w:proofErr w:type="spellEnd"/>
            <w:r w:rsidRPr="002E7C76">
              <w:rPr>
                <w:rFonts w:ascii="Arial" w:hAnsi="Arial" w:cs="Arial"/>
                <w:b/>
                <w:color w:val="000000" w:themeColor="text1"/>
                <w:sz w:val="24"/>
              </w:rPr>
              <w:t xml:space="preserve"> funding </w:t>
            </w:r>
            <w:r w:rsidRPr="002E7C76">
              <w:rPr>
                <w:rFonts w:ascii="Arial" w:hAnsi="Arial" w:cs="Arial"/>
                <w:b/>
                <w:color w:val="000000" w:themeColor="text1"/>
                <w:spacing w:val="-1"/>
                <w:sz w:val="24"/>
              </w:rPr>
              <w:t>through</w:t>
            </w:r>
            <w:r w:rsidRPr="002E7C76">
              <w:rPr>
                <w:rFonts w:ascii="Arial" w:hAnsi="Arial" w:cs="Arial"/>
                <w:b/>
                <w:color w:val="000000" w:themeColor="text1"/>
                <w:sz w:val="24"/>
              </w:rPr>
              <w:t xml:space="preserve"> the Combined</w:t>
            </w:r>
            <w:r w:rsidRPr="002E7C76">
              <w:rPr>
                <w:rFonts w:ascii="Arial" w:hAnsi="Arial" w:cs="Arial"/>
                <w:b/>
                <w:color w:val="000000" w:themeColor="text1"/>
                <w:spacing w:val="22"/>
                <w:sz w:val="24"/>
              </w:rPr>
              <w:t xml:space="preserve"> </w:t>
            </w:r>
            <w:r w:rsidRPr="002E7C76">
              <w:rPr>
                <w:rFonts w:ascii="Arial" w:hAnsi="Arial" w:cs="Arial"/>
                <w:b/>
                <w:color w:val="000000" w:themeColor="text1"/>
                <w:sz w:val="24"/>
              </w:rPr>
              <w:t xml:space="preserve">Application </w:t>
            </w:r>
            <w:r w:rsidRPr="002E7C76">
              <w:rPr>
                <w:rFonts w:ascii="Arial" w:hAnsi="Arial" w:cs="Arial"/>
                <w:b/>
                <w:color w:val="000000" w:themeColor="text1"/>
                <w:spacing w:val="-1"/>
                <w:sz w:val="24"/>
              </w:rPr>
              <w:t>Process</w:t>
            </w:r>
          </w:p>
          <w:p w:rsidR="002F0AF0" w:rsidRPr="002E7C76" w:rsidRDefault="000F5854" w:rsidP="001D59B0">
            <w:pPr>
              <w:pStyle w:val="ListParagraph"/>
              <w:numPr>
                <w:ilvl w:val="0"/>
                <w:numId w:val="1"/>
              </w:numPr>
              <w:tabs>
                <w:tab w:val="left" w:pos="409"/>
              </w:tabs>
              <w:spacing w:before="172"/>
              <w:ind w:left="630" w:firstLine="0"/>
              <w:rPr>
                <w:rFonts w:ascii="Arial" w:eastAsia="Helvetica Neue Light" w:hAnsi="Arial" w:cs="Arial"/>
                <w:color w:val="000000" w:themeColor="text1"/>
                <w:sz w:val="24"/>
                <w:szCs w:val="24"/>
              </w:rPr>
            </w:pPr>
            <w:r w:rsidRPr="002E7C76">
              <w:rPr>
                <w:rFonts w:ascii="Arial" w:hAnsi="Arial" w:cs="Arial"/>
                <w:color w:val="000000" w:themeColor="text1"/>
                <w:sz w:val="24"/>
              </w:rPr>
              <w:t>Accommodation Support</w:t>
            </w:r>
          </w:p>
          <w:p w:rsidR="002F0AF0" w:rsidRPr="002E7C76" w:rsidRDefault="000F5854" w:rsidP="001D59B0">
            <w:pPr>
              <w:pStyle w:val="ListParagraph"/>
              <w:numPr>
                <w:ilvl w:val="0"/>
                <w:numId w:val="1"/>
              </w:numPr>
              <w:tabs>
                <w:tab w:val="left" w:pos="409"/>
              </w:tabs>
              <w:spacing w:before="10"/>
              <w:ind w:left="630" w:firstLine="0"/>
              <w:rPr>
                <w:rFonts w:ascii="Arial" w:eastAsia="Helvetica Neue Light" w:hAnsi="Arial" w:cs="Arial"/>
                <w:color w:val="000000" w:themeColor="text1"/>
                <w:sz w:val="24"/>
                <w:szCs w:val="24"/>
              </w:rPr>
            </w:pPr>
            <w:r w:rsidRPr="002E7C76">
              <w:rPr>
                <w:rFonts w:ascii="Arial" w:hAnsi="Arial" w:cs="Arial"/>
                <w:color w:val="000000" w:themeColor="text1"/>
                <w:sz w:val="24"/>
              </w:rPr>
              <w:t>Alternatives to Employment</w:t>
            </w:r>
          </w:p>
          <w:p w:rsidR="002F0AF0" w:rsidRPr="002E7C76" w:rsidRDefault="000F5854" w:rsidP="001D59B0">
            <w:pPr>
              <w:pStyle w:val="ListParagraph"/>
              <w:numPr>
                <w:ilvl w:val="0"/>
                <w:numId w:val="1"/>
              </w:numPr>
              <w:tabs>
                <w:tab w:val="left" w:pos="409"/>
              </w:tabs>
              <w:spacing w:before="10"/>
              <w:ind w:left="630" w:firstLine="0"/>
              <w:rPr>
                <w:rFonts w:ascii="Arial" w:eastAsia="Helvetica Neue Light" w:hAnsi="Arial" w:cs="Arial"/>
                <w:color w:val="000000" w:themeColor="text1"/>
                <w:sz w:val="24"/>
                <w:szCs w:val="24"/>
              </w:rPr>
            </w:pPr>
            <w:r w:rsidRPr="002E7C76">
              <w:rPr>
                <w:rFonts w:ascii="Arial" w:hAnsi="Arial" w:cs="Arial"/>
                <w:color w:val="000000" w:themeColor="text1"/>
                <w:sz w:val="24"/>
              </w:rPr>
              <w:t>Intensive Family Support</w:t>
            </w:r>
          </w:p>
        </w:tc>
        <w:tc>
          <w:tcPr>
            <w:tcW w:w="2205" w:type="dxa"/>
            <w:tcBorders>
              <w:top w:val="single" w:sz="4" w:space="0" w:color="8DB3E1"/>
              <w:left w:val="nil"/>
              <w:bottom w:val="single" w:sz="4" w:space="0" w:color="9BC2E6"/>
              <w:right w:val="nil"/>
            </w:tcBorders>
            <w:shd w:val="clear" w:color="auto" w:fill="DBE4F0"/>
          </w:tcPr>
          <w:p w:rsidR="002F0AF0" w:rsidRPr="002E7C76" w:rsidRDefault="002F0AF0" w:rsidP="001D59B0">
            <w:pPr>
              <w:pStyle w:val="TableParagraph"/>
              <w:ind w:left="630"/>
              <w:rPr>
                <w:rFonts w:ascii="Arial" w:eastAsia="Helvetica Neue" w:hAnsi="Arial" w:cs="Arial"/>
                <w:b/>
                <w:bCs/>
                <w:color w:val="000000" w:themeColor="text1"/>
                <w:sz w:val="24"/>
                <w:szCs w:val="24"/>
              </w:rPr>
            </w:pPr>
          </w:p>
          <w:p w:rsidR="002F0AF0" w:rsidRPr="002E7C76" w:rsidRDefault="002F0AF0" w:rsidP="001D59B0">
            <w:pPr>
              <w:pStyle w:val="TableParagraph"/>
              <w:ind w:left="630"/>
              <w:rPr>
                <w:rFonts w:ascii="Arial" w:eastAsia="Helvetica Neue" w:hAnsi="Arial" w:cs="Arial"/>
                <w:b/>
                <w:bCs/>
                <w:color w:val="000000" w:themeColor="text1"/>
                <w:sz w:val="24"/>
                <w:szCs w:val="24"/>
              </w:rPr>
            </w:pPr>
          </w:p>
          <w:p w:rsidR="002F0AF0" w:rsidRPr="002E7C76" w:rsidRDefault="002F0AF0" w:rsidP="001D59B0">
            <w:pPr>
              <w:pStyle w:val="TableParagraph"/>
              <w:ind w:left="630"/>
              <w:rPr>
                <w:rFonts w:ascii="Arial" w:eastAsia="Helvetica Neue" w:hAnsi="Arial" w:cs="Arial"/>
                <w:b/>
                <w:bCs/>
                <w:color w:val="000000" w:themeColor="text1"/>
                <w:sz w:val="24"/>
                <w:szCs w:val="24"/>
              </w:rPr>
            </w:pPr>
          </w:p>
          <w:p w:rsidR="002F0AF0" w:rsidRPr="002E7C76" w:rsidRDefault="002F0AF0" w:rsidP="001D59B0">
            <w:pPr>
              <w:pStyle w:val="TableParagraph"/>
              <w:ind w:left="630"/>
              <w:rPr>
                <w:rFonts w:ascii="Arial" w:eastAsia="Helvetica Neue" w:hAnsi="Arial" w:cs="Arial"/>
                <w:b/>
                <w:bCs/>
                <w:color w:val="000000" w:themeColor="text1"/>
                <w:sz w:val="18"/>
                <w:szCs w:val="18"/>
              </w:rPr>
            </w:pPr>
          </w:p>
          <w:p w:rsidR="002F0AF0" w:rsidRPr="002E7C76" w:rsidRDefault="000F5854" w:rsidP="001D59B0">
            <w:pPr>
              <w:pStyle w:val="TableParagraph"/>
              <w:ind w:left="630"/>
              <w:rPr>
                <w:rFonts w:ascii="Arial" w:eastAsia="Helvetica Neue Light" w:hAnsi="Arial" w:cs="Arial"/>
                <w:color w:val="000000" w:themeColor="text1"/>
                <w:sz w:val="24"/>
                <w:szCs w:val="24"/>
              </w:rPr>
            </w:pPr>
            <w:r w:rsidRPr="002E7C76">
              <w:rPr>
                <w:rFonts w:ascii="Arial" w:hAnsi="Arial" w:cs="Arial"/>
                <w:color w:val="000000" w:themeColor="text1"/>
                <w:sz w:val="24"/>
              </w:rPr>
              <w:t>$16.3 million</w:t>
            </w:r>
          </w:p>
        </w:tc>
        <w:tc>
          <w:tcPr>
            <w:tcW w:w="2209" w:type="dxa"/>
            <w:tcBorders>
              <w:top w:val="single" w:sz="4" w:space="0" w:color="8DB3E1"/>
              <w:left w:val="nil"/>
              <w:bottom w:val="single" w:sz="4" w:space="0" w:color="9BC2E6"/>
              <w:right w:val="single" w:sz="4" w:space="0" w:color="8DB3E1"/>
            </w:tcBorders>
            <w:shd w:val="clear" w:color="auto" w:fill="DBE4F0"/>
          </w:tcPr>
          <w:p w:rsidR="002F0AF0" w:rsidRPr="002E7C76" w:rsidRDefault="002F0AF0" w:rsidP="001D59B0">
            <w:pPr>
              <w:pStyle w:val="TableParagraph"/>
              <w:ind w:left="630"/>
              <w:rPr>
                <w:rFonts w:ascii="Arial" w:eastAsia="Helvetica Neue" w:hAnsi="Arial" w:cs="Arial"/>
                <w:b/>
                <w:bCs/>
                <w:color w:val="000000" w:themeColor="text1"/>
                <w:sz w:val="24"/>
                <w:szCs w:val="24"/>
              </w:rPr>
            </w:pPr>
          </w:p>
          <w:p w:rsidR="002F0AF0" w:rsidRPr="002E7C76" w:rsidRDefault="002F0AF0" w:rsidP="001D59B0">
            <w:pPr>
              <w:pStyle w:val="TableParagraph"/>
              <w:ind w:left="630"/>
              <w:rPr>
                <w:rFonts w:ascii="Arial" w:eastAsia="Helvetica Neue" w:hAnsi="Arial" w:cs="Arial"/>
                <w:b/>
                <w:bCs/>
                <w:color w:val="000000" w:themeColor="text1"/>
                <w:sz w:val="24"/>
                <w:szCs w:val="24"/>
              </w:rPr>
            </w:pPr>
          </w:p>
          <w:p w:rsidR="002F0AF0" w:rsidRPr="002E7C76" w:rsidRDefault="002F0AF0" w:rsidP="001D59B0">
            <w:pPr>
              <w:pStyle w:val="TableParagraph"/>
              <w:ind w:left="630"/>
              <w:rPr>
                <w:rFonts w:ascii="Arial" w:eastAsia="Helvetica Neue" w:hAnsi="Arial" w:cs="Arial"/>
                <w:b/>
                <w:bCs/>
                <w:color w:val="000000" w:themeColor="text1"/>
                <w:sz w:val="24"/>
                <w:szCs w:val="24"/>
              </w:rPr>
            </w:pPr>
          </w:p>
          <w:p w:rsidR="002F0AF0" w:rsidRPr="002E7C76" w:rsidRDefault="002F0AF0" w:rsidP="001D59B0">
            <w:pPr>
              <w:pStyle w:val="TableParagraph"/>
              <w:ind w:left="630"/>
              <w:rPr>
                <w:rFonts w:ascii="Arial" w:eastAsia="Helvetica Neue" w:hAnsi="Arial" w:cs="Arial"/>
                <w:b/>
                <w:bCs/>
                <w:color w:val="000000" w:themeColor="text1"/>
                <w:sz w:val="18"/>
                <w:szCs w:val="18"/>
              </w:rPr>
            </w:pPr>
          </w:p>
          <w:p w:rsidR="002F0AF0" w:rsidRPr="002E7C76" w:rsidRDefault="000F5854" w:rsidP="001D59B0">
            <w:pPr>
              <w:pStyle w:val="TableParagraph"/>
              <w:ind w:left="630"/>
              <w:rPr>
                <w:rFonts w:ascii="Arial" w:eastAsia="Helvetica Neue Light" w:hAnsi="Arial" w:cs="Arial"/>
                <w:color w:val="000000" w:themeColor="text1"/>
                <w:sz w:val="24"/>
                <w:szCs w:val="24"/>
              </w:rPr>
            </w:pPr>
            <w:r w:rsidRPr="002E7C76">
              <w:rPr>
                <w:rFonts w:ascii="Arial" w:hAnsi="Arial" w:cs="Arial"/>
                <w:color w:val="000000" w:themeColor="text1"/>
                <w:sz w:val="24"/>
              </w:rPr>
              <w:t>193 people</w:t>
            </w:r>
          </w:p>
        </w:tc>
      </w:tr>
      <w:tr w:rsidR="002E7C76" w:rsidRPr="002E7C76" w:rsidTr="001D59B0">
        <w:trPr>
          <w:trHeight w:hRule="exact" w:val="2554"/>
        </w:trPr>
        <w:tc>
          <w:tcPr>
            <w:tcW w:w="5753" w:type="dxa"/>
            <w:tcBorders>
              <w:top w:val="single" w:sz="4" w:space="0" w:color="8DB3E1"/>
              <w:left w:val="single" w:sz="4" w:space="0" w:color="8DB3E1"/>
              <w:bottom w:val="single" w:sz="4" w:space="0" w:color="8DB3E1"/>
              <w:right w:val="nil"/>
            </w:tcBorders>
          </w:tcPr>
          <w:p w:rsidR="002F0AF0" w:rsidRPr="002E7C76" w:rsidRDefault="000F5854" w:rsidP="001D59B0">
            <w:pPr>
              <w:pStyle w:val="TableParagraph"/>
              <w:spacing w:before="55" w:line="245" w:lineRule="auto"/>
              <w:ind w:left="630" w:right="737"/>
              <w:rPr>
                <w:rFonts w:ascii="Arial" w:eastAsia="Helvetica Neue" w:hAnsi="Arial" w:cs="Arial"/>
                <w:color w:val="000000" w:themeColor="text1"/>
                <w:sz w:val="24"/>
                <w:szCs w:val="24"/>
              </w:rPr>
            </w:pPr>
            <w:proofErr w:type="spellStart"/>
            <w:r w:rsidRPr="002E7C76">
              <w:rPr>
                <w:rFonts w:ascii="Arial" w:hAnsi="Arial" w:cs="Arial"/>
                <w:b/>
                <w:color w:val="000000" w:themeColor="text1"/>
                <w:sz w:val="24"/>
              </w:rPr>
              <w:t>Individualised</w:t>
            </w:r>
            <w:proofErr w:type="spellEnd"/>
            <w:r w:rsidRPr="002E7C76">
              <w:rPr>
                <w:rFonts w:ascii="Arial" w:hAnsi="Arial" w:cs="Arial"/>
                <w:b/>
                <w:color w:val="000000" w:themeColor="text1"/>
                <w:sz w:val="24"/>
              </w:rPr>
              <w:t xml:space="preserve"> Funding </w:t>
            </w:r>
            <w:r w:rsidRPr="002E7C76">
              <w:rPr>
                <w:rFonts w:ascii="Arial" w:hAnsi="Arial" w:cs="Arial"/>
                <w:b/>
                <w:color w:val="000000" w:themeColor="text1"/>
                <w:spacing w:val="-1"/>
                <w:sz w:val="24"/>
              </w:rPr>
              <w:t>Processes</w:t>
            </w:r>
            <w:r w:rsidRPr="002E7C76">
              <w:rPr>
                <w:rFonts w:ascii="Arial" w:hAnsi="Arial" w:cs="Arial"/>
                <w:b/>
                <w:color w:val="000000" w:themeColor="text1"/>
                <w:sz w:val="24"/>
              </w:rPr>
              <w:t xml:space="preserve"> </w:t>
            </w:r>
            <w:r w:rsidRPr="002E7C76">
              <w:rPr>
                <w:rFonts w:ascii="Arial" w:hAnsi="Arial" w:cs="Arial"/>
                <w:b/>
                <w:color w:val="000000" w:themeColor="text1"/>
                <w:spacing w:val="-1"/>
                <w:sz w:val="24"/>
              </w:rPr>
              <w:t>through</w:t>
            </w:r>
            <w:r w:rsidRPr="002E7C76">
              <w:rPr>
                <w:rFonts w:ascii="Arial" w:hAnsi="Arial" w:cs="Arial"/>
                <w:b/>
                <w:color w:val="000000" w:themeColor="text1"/>
                <w:spacing w:val="26"/>
                <w:sz w:val="24"/>
              </w:rPr>
              <w:t xml:space="preserve"> </w:t>
            </w:r>
            <w:proofErr w:type="spellStart"/>
            <w:r w:rsidRPr="002E7C76">
              <w:rPr>
                <w:rFonts w:ascii="Arial" w:hAnsi="Arial" w:cs="Arial"/>
                <w:b/>
                <w:color w:val="000000" w:themeColor="text1"/>
                <w:sz w:val="24"/>
              </w:rPr>
              <w:t>decentralised</w:t>
            </w:r>
            <w:proofErr w:type="spellEnd"/>
            <w:r w:rsidRPr="002E7C76">
              <w:rPr>
                <w:rFonts w:ascii="Arial" w:hAnsi="Arial" w:cs="Arial"/>
                <w:b/>
                <w:color w:val="000000" w:themeColor="text1"/>
                <w:sz w:val="24"/>
              </w:rPr>
              <w:t xml:space="preserve"> </w:t>
            </w:r>
            <w:r w:rsidRPr="002E7C76">
              <w:rPr>
                <w:rFonts w:ascii="Arial" w:hAnsi="Arial" w:cs="Arial"/>
                <w:b/>
                <w:color w:val="000000" w:themeColor="text1"/>
                <w:spacing w:val="-1"/>
                <w:sz w:val="24"/>
              </w:rPr>
              <w:t>processes</w:t>
            </w:r>
          </w:p>
          <w:p w:rsidR="002F0AF0" w:rsidRPr="002E7C76" w:rsidRDefault="000F5854" w:rsidP="001D59B0">
            <w:pPr>
              <w:pStyle w:val="TableParagraph"/>
              <w:spacing w:before="172" w:line="388" w:lineRule="auto"/>
              <w:ind w:left="630" w:right="1501"/>
              <w:rPr>
                <w:rFonts w:ascii="Arial" w:eastAsia="Helvetica Neue Light" w:hAnsi="Arial" w:cs="Arial"/>
                <w:color w:val="000000" w:themeColor="text1"/>
                <w:sz w:val="24"/>
                <w:szCs w:val="24"/>
              </w:rPr>
            </w:pPr>
            <w:r w:rsidRPr="002E7C76">
              <w:rPr>
                <w:rFonts w:ascii="Arial" w:hAnsi="Arial" w:cs="Arial"/>
                <w:color w:val="000000" w:themeColor="text1"/>
                <w:sz w:val="24"/>
              </w:rPr>
              <w:t>Community and Family Living Initiatives Funding for school leavers</w:t>
            </w:r>
          </w:p>
          <w:p w:rsidR="002F0AF0" w:rsidRPr="002E7C76" w:rsidRDefault="000F5854" w:rsidP="001D59B0">
            <w:pPr>
              <w:pStyle w:val="TableParagraph"/>
              <w:spacing w:before="4"/>
              <w:ind w:left="630"/>
              <w:rPr>
                <w:rFonts w:ascii="Arial" w:eastAsia="Helvetica Neue Light" w:hAnsi="Arial" w:cs="Arial"/>
                <w:color w:val="000000" w:themeColor="text1"/>
                <w:sz w:val="24"/>
                <w:szCs w:val="24"/>
              </w:rPr>
            </w:pPr>
            <w:r w:rsidRPr="002E7C76">
              <w:rPr>
                <w:rFonts w:ascii="Arial" w:hAnsi="Arial" w:cs="Arial"/>
                <w:color w:val="000000" w:themeColor="text1"/>
                <w:sz w:val="24"/>
              </w:rPr>
              <w:t xml:space="preserve">Local </w:t>
            </w:r>
            <w:r w:rsidRPr="002E7C76">
              <w:rPr>
                <w:rFonts w:ascii="Arial" w:hAnsi="Arial" w:cs="Arial"/>
                <w:color w:val="000000" w:themeColor="text1"/>
                <w:spacing w:val="-2"/>
                <w:sz w:val="24"/>
              </w:rPr>
              <w:t>Area</w:t>
            </w:r>
            <w:r w:rsidRPr="002E7C76">
              <w:rPr>
                <w:rFonts w:ascii="Arial" w:hAnsi="Arial" w:cs="Arial"/>
                <w:color w:val="000000" w:themeColor="text1"/>
                <w:sz w:val="24"/>
              </w:rPr>
              <w:t xml:space="preserve"> </w:t>
            </w:r>
            <w:r w:rsidRPr="002E7C76">
              <w:rPr>
                <w:rFonts w:ascii="Arial" w:hAnsi="Arial" w:cs="Arial"/>
                <w:color w:val="000000" w:themeColor="text1"/>
                <w:spacing w:val="-2"/>
                <w:sz w:val="24"/>
              </w:rPr>
              <w:t>resource</w:t>
            </w:r>
          </w:p>
          <w:p w:rsidR="002F0AF0" w:rsidRPr="002E7C76" w:rsidRDefault="000F5854" w:rsidP="001D59B0">
            <w:pPr>
              <w:pStyle w:val="TableParagraph"/>
              <w:spacing w:before="180"/>
              <w:ind w:left="630"/>
              <w:rPr>
                <w:rFonts w:ascii="Arial" w:eastAsia="Helvetica Neue Light" w:hAnsi="Arial" w:cs="Arial"/>
                <w:color w:val="000000" w:themeColor="text1"/>
                <w:sz w:val="24"/>
                <w:szCs w:val="24"/>
              </w:rPr>
            </w:pPr>
            <w:r w:rsidRPr="002E7C76">
              <w:rPr>
                <w:rFonts w:ascii="Arial" w:hAnsi="Arial" w:cs="Arial"/>
                <w:color w:val="000000" w:themeColor="text1"/>
                <w:sz w:val="24"/>
              </w:rPr>
              <w:t xml:space="preserve">My </w:t>
            </w:r>
            <w:r w:rsidRPr="002E7C76">
              <w:rPr>
                <w:rFonts w:ascii="Arial" w:hAnsi="Arial" w:cs="Arial"/>
                <w:color w:val="000000" w:themeColor="text1"/>
                <w:spacing w:val="-3"/>
                <w:sz w:val="24"/>
              </w:rPr>
              <w:t>Way</w:t>
            </w:r>
            <w:r w:rsidRPr="002E7C76">
              <w:rPr>
                <w:rFonts w:ascii="Arial" w:hAnsi="Arial" w:cs="Arial"/>
                <w:color w:val="000000" w:themeColor="text1"/>
                <w:sz w:val="24"/>
              </w:rPr>
              <w:t xml:space="preserve"> </w:t>
            </w:r>
            <w:r w:rsidRPr="002E7C76">
              <w:rPr>
                <w:rFonts w:ascii="Arial" w:hAnsi="Arial" w:cs="Arial"/>
                <w:color w:val="000000" w:themeColor="text1"/>
                <w:spacing w:val="-2"/>
                <w:sz w:val="24"/>
              </w:rPr>
              <w:t>resource</w:t>
            </w:r>
          </w:p>
        </w:tc>
        <w:tc>
          <w:tcPr>
            <w:tcW w:w="2205" w:type="dxa"/>
            <w:tcBorders>
              <w:top w:val="single" w:sz="4" w:space="0" w:color="9BC2E6"/>
              <w:left w:val="nil"/>
              <w:bottom w:val="single" w:sz="4" w:space="0" w:color="9BC2E6"/>
              <w:right w:val="nil"/>
            </w:tcBorders>
          </w:tcPr>
          <w:p w:rsidR="002F0AF0" w:rsidRPr="002E7C76" w:rsidRDefault="002F0AF0" w:rsidP="001D59B0">
            <w:pPr>
              <w:pStyle w:val="TableParagraph"/>
              <w:ind w:left="630"/>
              <w:rPr>
                <w:rFonts w:ascii="Arial" w:eastAsia="Helvetica Neue" w:hAnsi="Arial" w:cs="Arial"/>
                <w:b/>
                <w:bCs/>
                <w:color w:val="000000" w:themeColor="text1"/>
                <w:sz w:val="24"/>
                <w:szCs w:val="24"/>
              </w:rPr>
            </w:pPr>
          </w:p>
          <w:p w:rsidR="002F0AF0" w:rsidRPr="002E7C76" w:rsidRDefault="002F0AF0" w:rsidP="001D59B0">
            <w:pPr>
              <w:pStyle w:val="TableParagraph"/>
              <w:ind w:left="630"/>
              <w:rPr>
                <w:rFonts w:ascii="Arial" w:eastAsia="Helvetica Neue" w:hAnsi="Arial" w:cs="Arial"/>
                <w:b/>
                <w:bCs/>
                <w:color w:val="000000" w:themeColor="text1"/>
                <w:sz w:val="24"/>
                <w:szCs w:val="24"/>
              </w:rPr>
            </w:pPr>
          </w:p>
          <w:p w:rsidR="002F0AF0" w:rsidRPr="002E7C76" w:rsidRDefault="002F0AF0" w:rsidP="001D59B0">
            <w:pPr>
              <w:pStyle w:val="TableParagraph"/>
              <w:spacing w:before="8"/>
              <w:ind w:left="630"/>
              <w:rPr>
                <w:rFonts w:ascii="Arial" w:eastAsia="Helvetica Neue" w:hAnsi="Arial" w:cs="Arial"/>
                <w:b/>
                <w:bCs/>
                <w:color w:val="000000" w:themeColor="text1"/>
                <w:sz w:val="20"/>
                <w:szCs w:val="20"/>
              </w:rPr>
            </w:pPr>
          </w:p>
          <w:p w:rsidR="002F0AF0" w:rsidRPr="002E7C76" w:rsidRDefault="000F5854" w:rsidP="001D59B0">
            <w:pPr>
              <w:pStyle w:val="TableParagraph"/>
              <w:ind w:left="630"/>
              <w:rPr>
                <w:rFonts w:ascii="Arial" w:eastAsia="Helvetica Neue Light" w:hAnsi="Arial" w:cs="Arial"/>
                <w:color w:val="000000" w:themeColor="text1"/>
                <w:sz w:val="24"/>
                <w:szCs w:val="24"/>
              </w:rPr>
            </w:pPr>
            <w:r w:rsidRPr="002E7C76">
              <w:rPr>
                <w:rFonts w:ascii="Arial" w:hAnsi="Arial" w:cs="Arial"/>
                <w:color w:val="000000" w:themeColor="text1"/>
                <w:sz w:val="24"/>
              </w:rPr>
              <w:t>$1.3 million</w:t>
            </w:r>
          </w:p>
          <w:p w:rsidR="002F0AF0" w:rsidRPr="002E7C76" w:rsidRDefault="000F5854" w:rsidP="001D59B0">
            <w:pPr>
              <w:pStyle w:val="TableParagraph"/>
              <w:spacing w:before="180"/>
              <w:ind w:left="630"/>
              <w:rPr>
                <w:rFonts w:ascii="Arial" w:eastAsia="Helvetica Neue Light" w:hAnsi="Arial" w:cs="Arial"/>
                <w:color w:val="000000" w:themeColor="text1"/>
                <w:sz w:val="24"/>
                <w:szCs w:val="24"/>
              </w:rPr>
            </w:pPr>
            <w:r w:rsidRPr="002E7C76">
              <w:rPr>
                <w:rFonts w:ascii="Arial" w:hAnsi="Arial" w:cs="Arial"/>
                <w:color w:val="000000" w:themeColor="text1"/>
                <w:sz w:val="24"/>
              </w:rPr>
              <w:t>$6.7 million</w:t>
            </w:r>
          </w:p>
          <w:p w:rsidR="002F0AF0" w:rsidRPr="002E7C76" w:rsidRDefault="000F5854" w:rsidP="001D59B0">
            <w:pPr>
              <w:pStyle w:val="TableParagraph"/>
              <w:spacing w:before="180"/>
              <w:ind w:left="630"/>
              <w:rPr>
                <w:rFonts w:ascii="Arial" w:eastAsia="Helvetica Neue Light" w:hAnsi="Arial" w:cs="Arial"/>
                <w:color w:val="000000" w:themeColor="text1"/>
                <w:sz w:val="24"/>
                <w:szCs w:val="24"/>
              </w:rPr>
            </w:pPr>
            <w:r w:rsidRPr="002E7C76">
              <w:rPr>
                <w:rFonts w:ascii="Arial" w:hAnsi="Arial" w:cs="Arial"/>
                <w:color w:val="000000" w:themeColor="text1"/>
                <w:sz w:val="24"/>
              </w:rPr>
              <w:t>$1.7 million</w:t>
            </w:r>
          </w:p>
          <w:p w:rsidR="002F0AF0" w:rsidRPr="002E7C76" w:rsidRDefault="000F5854" w:rsidP="001D59B0">
            <w:pPr>
              <w:pStyle w:val="TableParagraph"/>
              <w:spacing w:before="180"/>
              <w:ind w:left="630"/>
              <w:rPr>
                <w:rFonts w:ascii="Arial" w:eastAsia="Helvetica Neue Light" w:hAnsi="Arial" w:cs="Arial"/>
                <w:color w:val="000000" w:themeColor="text1"/>
                <w:sz w:val="24"/>
                <w:szCs w:val="24"/>
              </w:rPr>
            </w:pPr>
            <w:r w:rsidRPr="002E7C76">
              <w:rPr>
                <w:rFonts w:ascii="Arial" w:hAnsi="Arial" w:cs="Arial"/>
                <w:color w:val="000000" w:themeColor="text1"/>
                <w:sz w:val="24"/>
              </w:rPr>
              <w:t>$ 0.8 million</w:t>
            </w:r>
          </w:p>
        </w:tc>
        <w:tc>
          <w:tcPr>
            <w:tcW w:w="2209" w:type="dxa"/>
            <w:tcBorders>
              <w:top w:val="single" w:sz="4" w:space="0" w:color="9BC2E6"/>
              <w:left w:val="nil"/>
              <w:bottom w:val="single" w:sz="4" w:space="0" w:color="9BC2E6"/>
              <w:right w:val="single" w:sz="4" w:space="0" w:color="8DB3E1"/>
            </w:tcBorders>
          </w:tcPr>
          <w:p w:rsidR="002F0AF0" w:rsidRPr="002E7C76" w:rsidRDefault="002F0AF0" w:rsidP="001D59B0">
            <w:pPr>
              <w:pStyle w:val="TableParagraph"/>
              <w:ind w:left="630"/>
              <w:rPr>
                <w:rFonts w:ascii="Arial" w:eastAsia="Helvetica Neue" w:hAnsi="Arial" w:cs="Arial"/>
                <w:b/>
                <w:bCs/>
                <w:color w:val="000000" w:themeColor="text1"/>
                <w:sz w:val="24"/>
                <w:szCs w:val="24"/>
              </w:rPr>
            </w:pPr>
          </w:p>
          <w:p w:rsidR="002F0AF0" w:rsidRPr="002E7C76" w:rsidRDefault="002F0AF0" w:rsidP="001D59B0">
            <w:pPr>
              <w:pStyle w:val="TableParagraph"/>
              <w:ind w:left="630"/>
              <w:rPr>
                <w:rFonts w:ascii="Arial" w:eastAsia="Helvetica Neue" w:hAnsi="Arial" w:cs="Arial"/>
                <w:b/>
                <w:bCs/>
                <w:color w:val="000000" w:themeColor="text1"/>
                <w:sz w:val="24"/>
                <w:szCs w:val="24"/>
              </w:rPr>
            </w:pPr>
          </w:p>
          <w:p w:rsidR="002F0AF0" w:rsidRPr="002E7C76" w:rsidRDefault="002F0AF0" w:rsidP="001D59B0">
            <w:pPr>
              <w:pStyle w:val="TableParagraph"/>
              <w:spacing w:before="8"/>
              <w:ind w:left="630"/>
              <w:rPr>
                <w:rFonts w:ascii="Arial" w:eastAsia="Helvetica Neue" w:hAnsi="Arial" w:cs="Arial"/>
                <w:b/>
                <w:bCs/>
                <w:color w:val="000000" w:themeColor="text1"/>
                <w:sz w:val="20"/>
                <w:szCs w:val="20"/>
              </w:rPr>
            </w:pPr>
          </w:p>
          <w:p w:rsidR="002F0AF0" w:rsidRPr="002E7C76" w:rsidRDefault="000F5854" w:rsidP="001D59B0">
            <w:pPr>
              <w:pStyle w:val="TableParagraph"/>
              <w:ind w:left="630"/>
              <w:rPr>
                <w:rFonts w:ascii="Arial" w:eastAsia="Helvetica Neue Light" w:hAnsi="Arial" w:cs="Arial"/>
                <w:color w:val="000000" w:themeColor="text1"/>
                <w:sz w:val="24"/>
                <w:szCs w:val="24"/>
              </w:rPr>
            </w:pPr>
            <w:r w:rsidRPr="002E7C76">
              <w:rPr>
                <w:rFonts w:ascii="Arial" w:hAnsi="Arial" w:cs="Arial"/>
                <w:color w:val="000000" w:themeColor="text1"/>
                <w:sz w:val="24"/>
              </w:rPr>
              <w:t>172 people</w:t>
            </w:r>
          </w:p>
          <w:p w:rsidR="002F0AF0" w:rsidRPr="002E7C76" w:rsidRDefault="000F5854" w:rsidP="001D59B0">
            <w:pPr>
              <w:pStyle w:val="TableParagraph"/>
              <w:spacing w:before="180"/>
              <w:ind w:left="630"/>
              <w:rPr>
                <w:rFonts w:ascii="Arial" w:eastAsia="Helvetica Neue Light" w:hAnsi="Arial" w:cs="Arial"/>
                <w:color w:val="000000" w:themeColor="text1"/>
                <w:sz w:val="24"/>
                <w:szCs w:val="24"/>
              </w:rPr>
            </w:pPr>
            <w:r w:rsidRPr="002E7C76">
              <w:rPr>
                <w:rFonts w:ascii="Arial" w:hAnsi="Arial" w:cs="Arial"/>
                <w:color w:val="000000" w:themeColor="text1"/>
                <w:sz w:val="24"/>
              </w:rPr>
              <w:t>267 people</w:t>
            </w:r>
          </w:p>
          <w:p w:rsidR="002F0AF0" w:rsidRPr="002E7C76" w:rsidRDefault="000F5854" w:rsidP="001D59B0">
            <w:pPr>
              <w:pStyle w:val="TableParagraph"/>
              <w:spacing w:before="180"/>
              <w:ind w:left="630"/>
              <w:rPr>
                <w:rFonts w:ascii="Arial" w:eastAsia="Helvetica Neue Light" w:hAnsi="Arial" w:cs="Arial"/>
                <w:color w:val="000000" w:themeColor="text1"/>
                <w:sz w:val="24"/>
                <w:szCs w:val="24"/>
              </w:rPr>
            </w:pPr>
            <w:r w:rsidRPr="002E7C76">
              <w:rPr>
                <w:rFonts w:ascii="Arial" w:hAnsi="Arial" w:cs="Arial"/>
                <w:color w:val="000000" w:themeColor="text1"/>
                <w:sz w:val="24"/>
              </w:rPr>
              <w:t>1,249 people</w:t>
            </w:r>
          </w:p>
          <w:p w:rsidR="002F0AF0" w:rsidRPr="002E7C76" w:rsidRDefault="000F5854" w:rsidP="001D59B0">
            <w:pPr>
              <w:pStyle w:val="TableParagraph"/>
              <w:spacing w:before="180"/>
              <w:ind w:left="630"/>
              <w:rPr>
                <w:rFonts w:ascii="Arial" w:eastAsia="Helvetica Neue Light" w:hAnsi="Arial" w:cs="Arial"/>
                <w:color w:val="000000" w:themeColor="text1"/>
                <w:sz w:val="24"/>
                <w:szCs w:val="24"/>
              </w:rPr>
            </w:pPr>
            <w:r w:rsidRPr="002E7C76">
              <w:rPr>
                <w:rFonts w:ascii="Arial" w:hAnsi="Arial" w:cs="Arial"/>
                <w:color w:val="000000" w:themeColor="text1"/>
                <w:sz w:val="24"/>
              </w:rPr>
              <w:t>432 people</w:t>
            </w:r>
          </w:p>
        </w:tc>
      </w:tr>
      <w:tr w:rsidR="002E7C76" w:rsidRPr="002E7C76" w:rsidTr="001D59B0">
        <w:trPr>
          <w:trHeight w:hRule="exact" w:val="552"/>
        </w:trPr>
        <w:tc>
          <w:tcPr>
            <w:tcW w:w="5753" w:type="dxa"/>
            <w:tcBorders>
              <w:top w:val="single" w:sz="4" w:space="0" w:color="8DB3E1"/>
              <w:left w:val="single" w:sz="4" w:space="0" w:color="8DB3E1"/>
              <w:bottom w:val="single" w:sz="4" w:space="0" w:color="8DB3E1"/>
              <w:right w:val="nil"/>
            </w:tcBorders>
          </w:tcPr>
          <w:p w:rsidR="002F0AF0" w:rsidRPr="002E7C76" w:rsidRDefault="000F5854" w:rsidP="001D59B0">
            <w:pPr>
              <w:pStyle w:val="TableParagraph"/>
              <w:spacing w:before="147"/>
              <w:ind w:left="630"/>
              <w:rPr>
                <w:rFonts w:ascii="Arial" w:eastAsia="Helvetica Neue" w:hAnsi="Arial" w:cs="Arial"/>
                <w:color w:val="000000" w:themeColor="text1"/>
                <w:sz w:val="24"/>
                <w:szCs w:val="24"/>
              </w:rPr>
            </w:pPr>
            <w:r w:rsidRPr="002E7C76">
              <w:rPr>
                <w:rFonts w:ascii="Arial" w:hAnsi="Arial" w:cs="Arial"/>
                <w:b/>
                <w:color w:val="000000" w:themeColor="text1"/>
                <w:spacing w:val="-5"/>
                <w:sz w:val="24"/>
              </w:rPr>
              <w:t>TOTAL</w:t>
            </w:r>
          </w:p>
        </w:tc>
        <w:tc>
          <w:tcPr>
            <w:tcW w:w="2205" w:type="dxa"/>
            <w:tcBorders>
              <w:top w:val="single" w:sz="4" w:space="0" w:color="9BC2E6"/>
              <w:left w:val="nil"/>
              <w:bottom w:val="single" w:sz="4" w:space="0" w:color="8DB3E1"/>
              <w:right w:val="nil"/>
            </w:tcBorders>
          </w:tcPr>
          <w:p w:rsidR="002F0AF0" w:rsidRPr="002E7C76" w:rsidRDefault="000F5854" w:rsidP="001D59B0">
            <w:pPr>
              <w:pStyle w:val="TableParagraph"/>
              <w:spacing w:before="148"/>
              <w:ind w:left="630"/>
              <w:rPr>
                <w:rFonts w:ascii="Arial" w:eastAsia="Helvetica Neue Light" w:hAnsi="Arial" w:cs="Arial"/>
                <w:color w:val="000000" w:themeColor="text1"/>
                <w:sz w:val="24"/>
                <w:szCs w:val="24"/>
              </w:rPr>
            </w:pPr>
            <w:r w:rsidRPr="002E7C76">
              <w:rPr>
                <w:rFonts w:ascii="Arial" w:hAnsi="Arial" w:cs="Arial"/>
                <w:color w:val="000000" w:themeColor="text1"/>
                <w:sz w:val="24"/>
              </w:rPr>
              <w:t>$26.8 million</w:t>
            </w:r>
          </w:p>
        </w:tc>
        <w:tc>
          <w:tcPr>
            <w:tcW w:w="2209" w:type="dxa"/>
            <w:tcBorders>
              <w:top w:val="single" w:sz="4" w:space="0" w:color="9BC2E6"/>
              <w:left w:val="nil"/>
              <w:bottom w:val="single" w:sz="4" w:space="0" w:color="8DB3E1"/>
              <w:right w:val="single" w:sz="4" w:space="0" w:color="8DB3E1"/>
            </w:tcBorders>
          </w:tcPr>
          <w:p w:rsidR="002F0AF0" w:rsidRPr="002E7C76" w:rsidRDefault="000F5854" w:rsidP="001D59B0">
            <w:pPr>
              <w:pStyle w:val="TableParagraph"/>
              <w:spacing w:before="148"/>
              <w:ind w:left="630"/>
              <w:rPr>
                <w:rFonts w:ascii="Arial" w:eastAsia="Helvetica Neue Light" w:hAnsi="Arial" w:cs="Arial"/>
                <w:color w:val="000000" w:themeColor="text1"/>
                <w:sz w:val="24"/>
                <w:szCs w:val="24"/>
              </w:rPr>
            </w:pPr>
            <w:r w:rsidRPr="002E7C76">
              <w:rPr>
                <w:rFonts w:ascii="Arial" w:hAnsi="Arial" w:cs="Arial"/>
                <w:color w:val="000000" w:themeColor="text1"/>
                <w:sz w:val="24"/>
              </w:rPr>
              <w:t>2,313 people</w:t>
            </w:r>
          </w:p>
        </w:tc>
      </w:tr>
    </w:tbl>
    <w:p w:rsidR="002F0AF0" w:rsidRPr="002E7C76" w:rsidRDefault="002F0AF0" w:rsidP="001D59B0">
      <w:pPr>
        <w:ind w:left="630"/>
        <w:rPr>
          <w:rFonts w:ascii="Arial" w:eastAsia="Helvetica Neue" w:hAnsi="Arial" w:cs="Arial"/>
          <w:b/>
          <w:bCs/>
          <w:color w:val="000000" w:themeColor="text1"/>
          <w:sz w:val="20"/>
          <w:szCs w:val="20"/>
        </w:rPr>
      </w:pPr>
    </w:p>
    <w:p w:rsidR="00DE4706" w:rsidRDefault="00DE4706" w:rsidP="001D59B0">
      <w:pPr>
        <w:ind w:left="630"/>
        <w:rPr>
          <w:rFonts w:ascii="Arial" w:eastAsia="Helvetica Neue" w:hAnsi="Arial" w:cs="Arial"/>
          <w:b/>
          <w:bCs/>
          <w:color w:val="000000" w:themeColor="text1"/>
          <w:sz w:val="20"/>
          <w:szCs w:val="20"/>
        </w:rPr>
      </w:pPr>
      <w:r>
        <w:rPr>
          <w:rFonts w:ascii="Arial" w:eastAsia="Helvetica Neue" w:hAnsi="Arial" w:cs="Arial"/>
          <w:b/>
          <w:bCs/>
          <w:color w:val="000000" w:themeColor="text1"/>
          <w:sz w:val="20"/>
          <w:szCs w:val="20"/>
        </w:rPr>
        <w:br w:type="page"/>
      </w:r>
    </w:p>
    <w:p w:rsidR="002F0AF0" w:rsidRPr="002E7C76" w:rsidRDefault="000F5854" w:rsidP="001D59B0">
      <w:pPr>
        <w:pStyle w:val="BodyText"/>
      </w:pPr>
      <w:r w:rsidRPr="002E7C76">
        <w:rPr>
          <w:b/>
          <w:spacing w:val="-1"/>
        </w:rPr>
        <w:lastRenderedPageBreak/>
        <w:t>Figure</w:t>
      </w:r>
      <w:r w:rsidRPr="002E7C76">
        <w:rPr>
          <w:b/>
        </w:rPr>
        <w:t xml:space="preserve"> 1 </w:t>
      </w:r>
      <w:r w:rsidRPr="002E7C76">
        <w:rPr>
          <w:spacing w:val="-1"/>
        </w:rPr>
        <w:t>provides</w:t>
      </w:r>
      <w:r w:rsidRPr="002E7C76">
        <w:t xml:space="preserve"> a comparison of </w:t>
      </w:r>
      <w:proofErr w:type="spellStart"/>
      <w:r w:rsidRPr="002E7C76">
        <w:t>individualised</w:t>
      </w:r>
      <w:proofErr w:type="spellEnd"/>
      <w:r w:rsidRPr="002E7C76">
        <w:t xml:space="preserve"> services and the number of people who </w:t>
      </w:r>
      <w:r w:rsidRPr="002E7C76">
        <w:rPr>
          <w:spacing w:val="-1"/>
        </w:rPr>
        <w:t>received</w:t>
      </w:r>
      <w:r w:rsidRPr="002E7C76">
        <w:rPr>
          <w:spacing w:val="27"/>
        </w:rPr>
        <w:t xml:space="preserve"> </w:t>
      </w:r>
      <w:r w:rsidRPr="002E7C76">
        <w:t xml:space="preserve">support </w:t>
      </w:r>
      <w:r w:rsidRPr="002E7C76">
        <w:rPr>
          <w:spacing w:val="-2"/>
        </w:rPr>
        <w:t>from</w:t>
      </w:r>
      <w:r w:rsidRPr="002E7C76">
        <w:t xml:space="preserve"> these in contrast with the funds allocated to each service as a way of highlighting the</w:t>
      </w:r>
      <w:r w:rsidRPr="002E7C76">
        <w:rPr>
          <w:spacing w:val="23"/>
        </w:rPr>
        <w:t xml:space="preserve"> </w:t>
      </w:r>
      <w:r w:rsidRPr="002E7C76">
        <w:rPr>
          <w:spacing w:val="-1"/>
        </w:rPr>
        <w:t>proportional</w:t>
      </w:r>
      <w:r w:rsidRPr="002E7C76">
        <w:t xml:space="preserve"> cost of </w:t>
      </w:r>
      <w:proofErr w:type="spellStart"/>
      <w:r w:rsidRPr="002E7C76">
        <w:t>individualised</w:t>
      </w:r>
      <w:proofErr w:type="spellEnd"/>
      <w:r w:rsidRPr="002E7C76">
        <w:t xml:space="preserve"> services.</w:t>
      </w:r>
    </w:p>
    <w:p w:rsidR="002F0AF0" w:rsidRPr="002E7C76" w:rsidRDefault="002F0AF0" w:rsidP="001D59B0">
      <w:pPr>
        <w:spacing w:before="6"/>
        <w:ind w:left="630"/>
        <w:rPr>
          <w:rFonts w:ascii="Arial" w:eastAsia="Helvetica Neue Light" w:hAnsi="Arial" w:cs="Arial"/>
          <w:color w:val="000000" w:themeColor="text1"/>
          <w:sz w:val="32"/>
          <w:szCs w:val="32"/>
        </w:rPr>
      </w:pPr>
    </w:p>
    <w:p w:rsidR="002F0AF0" w:rsidRDefault="000F5854" w:rsidP="001D59B0">
      <w:pPr>
        <w:pStyle w:val="Heading2"/>
      </w:pPr>
      <w:r w:rsidRPr="002E7C76">
        <w:rPr>
          <w:spacing w:val="-1"/>
        </w:rPr>
        <w:t>Figure</w:t>
      </w:r>
      <w:r w:rsidRPr="002E7C76">
        <w:t xml:space="preserve"> 1: </w:t>
      </w:r>
      <w:r w:rsidRPr="002E7C76">
        <w:rPr>
          <w:spacing w:val="-1"/>
        </w:rPr>
        <w:t>Proportion</w:t>
      </w:r>
      <w:r w:rsidRPr="002E7C76">
        <w:t xml:space="preserve"> of funding allocated to </w:t>
      </w:r>
      <w:proofErr w:type="spellStart"/>
      <w:r w:rsidRPr="002E7C76">
        <w:t>individualised</w:t>
      </w:r>
      <w:proofErr w:type="spellEnd"/>
      <w:r w:rsidRPr="002E7C76">
        <w:t xml:space="preserve"> services and the</w:t>
      </w:r>
      <w:r w:rsidRPr="002E7C76">
        <w:rPr>
          <w:spacing w:val="26"/>
        </w:rPr>
        <w:t xml:space="preserve"> </w:t>
      </w:r>
      <w:r w:rsidRPr="002E7C76">
        <w:rPr>
          <w:spacing w:val="-1"/>
        </w:rPr>
        <w:t>proportion</w:t>
      </w:r>
      <w:r w:rsidRPr="002E7C76">
        <w:t xml:space="preserve"> of people who accessed funding in 2013–14</w:t>
      </w:r>
    </w:p>
    <w:p w:rsidR="00DE4706" w:rsidRPr="002E7C76" w:rsidRDefault="00DE4706" w:rsidP="001D59B0">
      <w:pPr>
        <w:pStyle w:val="Heading2"/>
        <w:rPr>
          <w:b w:val="0"/>
          <w:bCs/>
        </w:rPr>
      </w:pPr>
      <w:r>
        <w:rPr>
          <w:noProof/>
          <w:lang w:val="en-AU" w:eastAsia="en-AU"/>
        </w:rPr>
        <w:drawing>
          <wp:inline distT="0" distB="0" distL="0" distR="0" wp14:anchorId="25E9B401" wp14:editId="11AB5020">
            <wp:extent cx="6210795" cy="4108862"/>
            <wp:effectExtent l="0" t="0" r="19050" b="25400"/>
            <wp:docPr id="346" name="Chart 346" descr="Proportion of funding allocated:&#10;• 40.7 per cent to accommodation support&#10;• 14.9 per cent to intensive family support&#10;• 5.2 per cent to alternatives to employment&#10;• 4.9 per cent to community and family living&#10;• 6.3 per cent to local area resource&#10;• 3.0 per cent to My Way resource&#10;• 25.0 per cent to school leavers support&#10;&#10;Proportion of people:&#10;• 3.2 per cent to accommodation support&#10;• 3.2 per cent to intensive family support&#10;• 2.3 per cent to alternatives to employment&#10;• 7.4 per cent to community and family living&#10;• 53.8 per cent to local area resource&#10;• 18.6 per cent to My Way resource&#10;• 11.5 per cent to school leavers support" title="Figure 1: Proportion of funding allocated to individualised services and the proportion of people who accessed funding in 2013–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E4706" w:rsidRDefault="00DE4706" w:rsidP="001D59B0">
      <w:pPr>
        <w:pStyle w:val="Heading2"/>
      </w:pPr>
    </w:p>
    <w:p w:rsidR="002F0AF0" w:rsidRPr="008E70C0" w:rsidRDefault="000F5854" w:rsidP="001D59B0">
      <w:pPr>
        <w:pStyle w:val="Heading2"/>
        <w:rPr>
          <w:szCs w:val="28"/>
        </w:rPr>
      </w:pPr>
      <w:r w:rsidRPr="008E70C0">
        <w:rPr>
          <w:szCs w:val="28"/>
        </w:rPr>
        <w:t>Age and service type for people funded</w:t>
      </w:r>
    </w:p>
    <w:p w:rsidR="002F0AF0" w:rsidRPr="002E7C76" w:rsidRDefault="000F5854" w:rsidP="001D59B0">
      <w:pPr>
        <w:pStyle w:val="BodyText"/>
      </w:pPr>
      <w:r w:rsidRPr="002E7C76">
        <w:rPr>
          <w:b/>
          <w:spacing w:val="-1"/>
        </w:rPr>
        <w:t>Figure</w:t>
      </w:r>
      <w:r w:rsidRPr="002E7C76">
        <w:rPr>
          <w:b/>
        </w:rPr>
        <w:t xml:space="preserve"> 2 </w:t>
      </w:r>
      <w:r w:rsidR="00DE4706">
        <w:rPr>
          <w:b/>
        </w:rPr>
        <w:t xml:space="preserve">on the next page </w:t>
      </w:r>
      <w:r w:rsidRPr="002E7C76">
        <w:rPr>
          <w:spacing w:val="-1"/>
        </w:rPr>
        <w:t>provides</w:t>
      </w:r>
      <w:r w:rsidRPr="002E7C76">
        <w:t xml:space="preserve"> information about the age distribution of people who </w:t>
      </w:r>
      <w:r w:rsidRPr="002E7C76">
        <w:rPr>
          <w:spacing w:val="-2"/>
        </w:rPr>
        <w:t>were</w:t>
      </w:r>
      <w:r w:rsidRPr="002E7C76">
        <w:t xml:space="preserve"> successfully funded</w:t>
      </w:r>
      <w:r w:rsidRPr="002E7C76">
        <w:rPr>
          <w:spacing w:val="27"/>
        </w:rPr>
        <w:t xml:space="preserve"> </w:t>
      </w:r>
      <w:r w:rsidRPr="002E7C76">
        <w:t>for Accommodation Support, Alternatives to Employment and Intensive Family Support.  The</w:t>
      </w:r>
      <w:r w:rsidRPr="002E7C76">
        <w:rPr>
          <w:spacing w:val="24"/>
        </w:rPr>
        <w:t xml:space="preserve"> </w:t>
      </w:r>
      <w:r w:rsidRPr="002E7C76">
        <w:t>following observations can be made:</w:t>
      </w:r>
    </w:p>
    <w:p w:rsidR="002F0AF0" w:rsidRPr="002E7C76" w:rsidRDefault="000F5854" w:rsidP="001D59B0">
      <w:pPr>
        <w:pStyle w:val="BodyText"/>
      </w:pPr>
      <w:r w:rsidRPr="002E7C76">
        <w:t xml:space="preserve">Almost 43 per cent of people funded for Accommodation Support </w:t>
      </w:r>
      <w:r w:rsidRPr="002E7C76">
        <w:rPr>
          <w:spacing w:val="-2"/>
        </w:rPr>
        <w:t>were</w:t>
      </w:r>
      <w:r w:rsidRPr="002E7C76">
        <w:t xml:space="preserve"> aged </w:t>
      </w:r>
      <w:proofErr w:type="gramStart"/>
      <w:r w:rsidRPr="002E7C76">
        <w:t>between</w:t>
      </w:r>
      <w:r w:rsidRPr="002E7C76">
        <w:rPr>
          <w:spacing w:val="-1"/>
        </w:rPr>
        <w:t xml:space="preserve"> </w:t>
      </w:r>
      <w:r w:rsidRPr="002E7C76">
        <w:rPr>
          <w:spacing w:val="23"/>
        </w:rPr>
        <w:t xml:space="preserve"> </w:t>
      </w:r>
      <w:r w:rsidRPr="002E7C76">
        <w:t>15</w:t>
      </w:r>
      <w:proofErr w:type="gramEnd"/>
      <w:r w:rsidRPr="002E7C76">
        <w:t xml:space="preserve"> and 19 years-of-age.</w:t>
      </w:r>
    </w:p>
    <w:p w:rsidR="002F0AF0" w:rsidRPr="002E7C76" w:rsidRDefault="000F5854" w:rsidP="00436651">
      <w:pPr>
        <w:pStyle w:val="BodyText"/>
        <w:numPr>
          <w:ilvl w:val="0"/>
          <w:numId w:val="1"/>
        </w:numPr>
        <w:ind w:left="993" w:hanging="284"/>
      </w:pPr>
      <w:r w:rsidRPr="002E7C76">
        <w:t xml:space="preserve">Of those people funded for Alternatives to Employment in 2013–14, </w:t>
      </w:r>
      <w:proofErr w:type="gramStart"/>
      <w:r w:rsidRPr="002E7C76">
        <w:rPr>
          <w:spacing w:val="-1"/>
        </w:rPr>
        <w:t>approximately</w:t>
      </w:r>
      <w:r w:rsidRPr="002E7C76">
        <w:rPr>
          <w:spacing w:val="12"/>
        </w:rPr>
        <w:t xml:space="preserve">  </w:t>
      </w:r>
      <w:r w:rsidRPr="002E7C76">
        <w:t>41</w:t>
      </w:r>
      <w:proofErr w:type="gramEnd"/>
      <w:r w:rsidRPr="002E7C76">
        <w:t xml:space="preserve"> per cent </w:t>
      </w:r>
      <w:r w:rsidRPr="002E7C76">
        <w:rPr>
          <w:spacing w:val="-2"/>
        </w:rPr>
        <w:t>were</w:t>
      </w:r>
      <w:r w:rsidRPr="002E7C76">
        <w:t xml:space="preserve"> aged between 45 and 54 years.</w:t>
      </w:r>
    </w:p>
    <w:p w:rsidR="002F0AF0" w:rsidRPr="002E7C76" w:rsidRDefault="000F5854" w:rsidP="00436651">
      <w:pPr>
        <w:pStyle w:val="BodyText"/>
        <w:numPr>
          <w:ilvl w:val="0"/>
          <w:numId w:val="1"/>
        </w:numPr>
        <w:ind w:left="993" w:hanging="284"/>
      </w:pPr>
      <w:r w:rsidRPr="002E7C76">
        <w:t xml:space="preserve">Most people (59.5 per cent) funded for Intensive Family Support in 2013–14 </w:t>
      </w:r>
      <w:r w:rsidRPr="002E7C76">
        <w:rPr>
          <w:spacing w:val="-2"/>
        </w:rPr>
        <w:t>were</w:t>
      </w:r>
      <w:r w:rsidRPr="002E7C76">
        <w:t xml:space="preserve"> of school</w:t>
      </w:r>
      <w:r w:rsidRPr="002E7C76">
        <w:rPr>
          <w:spacing w:val="23"/>
        </w:rPr>
        <w:t xml:space="preserve"> </w:t>
      </w:r>
      <w:r w:rsidRPr="002E7C76">
        <w:t>age, which is between 0 and 14 years.</w:t>
      </w:r>
    </w:p>
    <w:p w:rsidR="00DE4706" w:rsidRDefault="00DE4706" w:rsidP="001D59B0">
      <w:pPr>
        <w:ind w:left="630"/>
        <w:rPr>
          <w:rFonts w:ascii="Arial" w:eastAsia="Helvetica Neue" w:hAnsi="Arial" w:cs="Arial"/>
          <w:color w:val="000000" w:themeColor="text1"/>
          <w:sz w:val="20"/>
          <w:szCs w:val="20"/>
        </w:rPr>
      </w:pPr>
      <w:r>
        <w:rPr>
          <w:rFonts w:ascii="Arial" w:eastAsia="Helvetica Neue" w:hAnsi="Arial" w:cs="Arial"/>
          <w:color w:val="000000" w:themeColor="text1"/>
          <w:sz w:val="20"/>
          <w:szCs w:val="20"/>
        </w:rPr>
        <w:br w:type="page"/>
      </w:r>
    </w:p>
    <w:p w:rsidR="002F0AF0" w:rsidRPr="002E7C76" w:rsidRDefault="002F0AF0" w:rsidP="001D59B0">
      <w:pPr>
        <w:ind w:left="630"/>
        <w:rPr>
          <w:rFonts w:ascii="Arial" w:eastAsia="Helvetica Neue" w:hAnsi="Arial" w:cs="Arial"/>
          <w:color w:val="000000" w:themeColor="text1"/>
          <w:sz w:val="20"/>
          <w:szCs w:val="20"/>
        </w:rPr>
      </w:pPr>
    </w:p>
    <w:p w:rsidR="002F0AF0" w:rsidRDefault="000F5854" w:rsidP="001D59B0">
      <w:pPr>
        <w:pStyle w:val="Heading2"/>
      </w:pPr>
      <w:r w:rsidRPr="002E7C76">
        <w:rPr>
          <w:spacing w:val="-1"/>
        </w:rPr>
        <w:t>Figure</w:t>
      </w:r>
      <w:r w:rsidRPr="002E7C76">
        <w:t xml:space="preserve"> 2: Age distribution of people applying for support funding showing</w:t>
      </w:r>
      <w:r w:rsidRPr="002E7C76">
        <w:rPr>
          <w:spacing w:val="21"/>
        </w:rPr>
        <w:t xml:space="preserve"> </w:t>
      </w:r>
      <w:r w:rsidRPr="002E7C76">
        <w:rPr>
          <w:spacing w:val="-1"/>
        </w:rPr>
        <w:t>expressed</w:t>
      </w:r>
      <w:r w:rsidRPr="002E7C76">
        <w:t xml:space="preserve"> support </w:t>
      </w:r>
      <w:r w:rsidRPr="002E7C76">
        <w:rPr>
          <w:spacing w:val="-1"/>
        </w:rPr>
        <w:t>preference</w:t>
      </w:r>
      <w:r w:rsidRPr="002E7C76">
        <w:t xml:space="preserve"> by age </w:t>
      </w:r>
      <w:r w:rsidRPr="002E7C76">
        <w:rPr>
          <w:spacing w:val="-1"/>
        </w:rPr>
        <w:t>through</w:t>
      </w:r>
      <w:r w:rsidRPr="002E7C76">
        <w:t xml:space="preserve"> </w:t>
      </w:r>
      <w:r w:rsidRPr="002E7C76">
        <w:rPr>
          <w:spacing w:val="-1"/>
        </w:rPr>
        <w:t>three</w:t>
      </w:r>
      <w:r w:rsidRPr="002E7C76">
        <w:t xml:space="preserve"> service </w:t>
      </w:r>
      <w:r w:rsidRPr="002E7C76">
        <w:rPr>
          <w:spacing w:val="-1"/>
        </w:rPr>
        <w:t>areas</w:t>
      </w:r>
      <w:r w:rsidRPr="002E7C76">
        <w:t xml:space="preserve"> in 2013–14</w:t>
      </w:r>
    </w:p>
    <w:p w:rsidR="001D59B0" w:rsidRPr="002E7C76" w:rsidRDefault="001D59B0" w:rsidP="001D59B0">
      <w:pPr>
        <w:pStyle w:val="Heading2"/>
        <w:rPr>
          <w:b w:val="0"/>
          <w:bCs/>
        </w:rPr>
      </w:pPr>
      <w:r>
        <w:rPr>
          <w:noProof/>
          <w:lang w:val="en-AU" w:eastAsia="en-AU"/>
        </w:rPr>
        <w:drawing>
          <wp:inline distT="0" distB="0" distL="0" distR="0" wp14:anchorId="742D9338" wp14:editId="1375C302">
            <wp:extent cx="6191250" cy="4210050"/>
            <wp:effectExtent l="0" t="0" r="19050" b="19050"/>
            <wp:docPr id="347" name="Chart 347" descr="0 to 9: &#10;• 27 per cent to intensive family support&#10;10 to 19: &#10;• 51.4 per cent to intensive family support&#10;• 47.3 per cent to accommodation support&#10;20 to 29:&#10;• 10.8 per cent to intensive family support&#10;• 17.6 per cent to accommodation support&#10;• 13 per cent to alternatives to employment&#10;30 to 39:&#10;• 2.7 per cent to intensive family support&#10;• 8.1 per cent to accommodation support&#10;• 24.1 per cent to alternatives to employment&#10;40 to 49:&#10;• 4.1 per cent to intensive family support&#10;• 12.2 per cent to accommodation support&#10;• 29.6 per cent to alternatives to employment&#10;50 to 59:&#10;• 1.4 per cent to intensive family support&#10;• 12.2 per cent to accommodation support&#10;• 27.8 per cent to alternatives to employment&#10;60+:&#10;• 10.8 per cent to intensive family support&#10;• 2.7 per cent to accommodation support&#10;• 5.6 per cent to alternatives to employment" title="Figure 2: Age distribution of people applying for support funding showing expressed support preference by age through three service areas in 2013–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E70C0" w:rsidRDefault="008E70C0" w:rsidP="008E70C0">
      <w:pPr>
        <w:pStyle w:val="BodyText"/>
      </w:pPr>
    </w:p>
    <w:p w:rsidR="002F0AF0" w:rsidRPr="002E7C76" w:rsidRDefault="000F5854" w:rsidP="001D59B0">
      <w:pPr>
        <w:pStyle w:val="Heading2"/>
      </w:pPr>
      <w:r w:rsidRPr="002E7C76">
        <w:rPr>
          <w:spacing w:val="-37"/>
        </w:rPr>
        <w:t>T</w:t>
      </w:r>
      <w:r w:rsidRPr="002E7C76">
        <w:rPr>
          <w:spacing w:val="-8"/>
        </w:rPr>
        <w:t>r</w:t>
      </w:r>
      <w:r w:rsidRPr="002E7C76">
        <w:t>ends f</w:t>
      </w:r>
      <w:r w:rsidRPr="002E7C76">
        <w:rPr>
          <w:spacing w:val="-8"/>
        </w:rPr>
        <w:t>r</w:t>
      </w:r>
      <w:r w:rsidRPr="002E7C76">
        <w:t>om 2009–10 to 2013–14</w:t>
      </w:r>
    </w:p>
    <w:p w:rsidR="002F0AF0" w:rsidRPr="002E7C76" w:rsidRDefault="000F5854" w:rsidP="001D59B0">
      <w:pPr>
        <w:pStyle w:val="BodyText"/>
      </w:pPr>
      <w:r w:rsidRPr="002E7C76">
        <w:t xml:space="preserve">Between 2009–10 and 2013–14 the Commission allocated </w:t>
      </w:r>
      <w:r w:rsidRPr="002E7C76">
        <w:rPr>
          <w:spacing w:val="-1"/>
        </w:rPr>
        <w:t>approximately</w:t>
      </w:r>
      <w:r w:rsidRPr="002E7C76">
        <w:t xml:space="preserve"> $133.5 million </w:t>
      </w:r>
      <w:r w:rsidRPr="002E7C76">
        <w:rPr>
          <w:spacing w:val="-1"/>
        </w:rPr>
        <w:t>across</w:t>
      </w:r>
      <w:r w:rsidRPr="002E7C76">
        <w:rPr>
          <w:spacing w:val="29"/>
        </w:rPr>
        <w:t xml:space="preserve"> </w:t>
      </w:r>
      <w:r w:rsidRPr="002E7C76">
        <w:rPr>
          <w:spacing w:val="-1"/>
        </w:rPr>
        <w:t>three</w:t>
      </w:r>
      <w:r w:rsidRPr="002E7C76">
        <w:t xml:space="preserve"> </w:t>
      </w:r>
      <w:r w:rsidRPr="002E7C76">
        <w:rPr>
          <w:spacing w:val="-1"/>
        </w:rPr>
        <w:t>areas</w:t>
      </w:r>
      <w:r w:rsidRPr="002E7C76">
        <w:t xml:space="preserve"> of support - Accommodation Support, Intensive Family Support, and Alternatives</w:t>
      </w:r>
      <w:r w:rsidR="008E70C0">
        <w:t xml:space="preserve"> </w:t>
      </w:r>
      <w:r w:rsidRPr="002E7C76">
        <w:t>to Employment.</w:t>
      </w:r>
      <w:r w:rsidR="008E70C0">
        <w:rPr>
          <w:spacing w:val="66"/>
        </w:rPr>
        <w:t xml:space="preserve"> </w:t>
      </w:r>
      <w:r w:rsidRPr="002E7C76">
        <w:t xml:space="preserve">As a </w:t>
      </w:r>
      <w:r w:rsidRPr="002E7C76">
        <w:rPr>
          <w:spacing w:val="-1"/>
        </w:rPr>
        <w:t>result</w:t>
      </w:r>
      <w:r w:rsidR="008E70C0">
        <w:rPr>
          <w:spacing w:val="-1"/>
        </w:rPr>
        <w:t>,</w:t>
      </w:r>
      <w:r w:rsidRPr="002E7C76">
        <w:t xml:space="preserve"> 1,506 new funded supports </w:t>
      </w:r>
      <w:r w:rsidRPr="002E7C76">
        <w:rPr>
          <w:spacing w:val="-2"/>
        </w:rPr>
        <w:t>are</w:t>
      </w:r>
      <w:r w:rsidRPr="002E7C76">
        <w:t xml:space="preserve"> being </w:t>
      </w:r>
      <w:r w:rsidRPr="002E7C76">
        <w:rPr>
          <w:spacing w:val="-1"/>
        </w:rPr>
        <w:t>provided</w:t>
      </w:r>
      <w:r w:rsidRPr="002E7C76">
        <w:t xml:space="preserve"> into the </w:t>
      </w:r>
      <w:r w:rsidRPr="002E7C76">
        <w:rPr>
          <w:spacing w:val="-1"/>
        </w:rPr>
        <w:t>future.</w:t>
      </w:r>
      <w:r w:rsidRPr="002E7C76">
        <w:t xml:space="preserve">  In</w:t>
      </w:r>
      <w:r w:rsidRPr="002E7C76">
        <w:rPr>
          <w:spacing w:val="27"/>
        </w:rPr>
        <w:t xml:space="preserve"> </w:t>
      </w:r>
      <w:r w:rsidRPr="002E7C76">
        <w:t>addition</w:t>
      </w:r>
      <w:r w:rsidR="008E70C0">
        <w:t>,</w:t>
      </w:r>
      <w:r w:rsidRPr="002E7C76">
        <w:t xml:space="preserve"> 279 people with existing supports </w:t>
      </w:r>
      <w:r w:rsidRPr="002E7C76">
        <w:rPr>
          <w:spacing w:val="-1"/>
        </w:rPr>
        <w:t>received</w:t>
      </w:r>
      <w:r w:rsidRPr="002E7C76">
        <w:t xml:space="preserve"> an </w:t>
      </w:r>
      <w:r w:rsidRPr="002E7C76">
        <w:rPr>
          <w:spacing w:val="-1"/>
        </w:rPr>
        <w:t>increase</w:t>
      </w:r>
      <w:r w:rsidRPr="002E7C76">
        <w:t xml:space="preserve"> in their level of support as their</w:t>
      </w:r>
      <w:r w:rsidRPr="002E7C76">
        <w:rPr>
          <w:spacing w:val="26"/>
        </w:rPr>
        <w:t xml:space="preserve"> </w:t>
      </w:r>
      <w:r w:rsidRPr="002E7C76">
        <w:t xml:space="preserve">needs have changed or become </w:t>
      </w:r>
      <w:r w:rsidRPr="002E7C76">
        <w:rPr>
          <w:spacing w:val="-2"/>
        </w:rPr>
        <w:t>more</w:t>
      </w:r>
      <w:r w:rsidRPr="002E7C76">
        <w:t xml:space="preserve"> complex over time.</w:t>
      </w:r>
    </w:p>
    <w:p w:rsidR="001D59B0" w:rsidRDefault="001D59B0" w:rsidP="001D59B0">
      <w:pPr>
        <w:pStyle w:val="Heading2"/>
      </w:pPr>
    </w:p>
    <w:p w:rsidR="002F0AF0" w:rsidRPr="002E7C76" w:rsidRDefault="000F5854" w:rsidP="001D59B0">
      <w:pPr>
        <w:pStyle w:val="Heading2"/>
      </w:pPr>
      <w:r w:rsidRPr="002E7C76">
        <w:t>Unmet demand for supports and services</w:t>
      </w:r>
    </w:p>
    <w:p w:rsidR="002F0AF0" w:rsidRPr="002E7C76" w:rsidRDefault="000F5854" w:rsidP="001D59B0">
      <w:pPr>
        <w:pStyle w:val="BodyText"/>
      </w:pPr>
      <w:r w:rsidRPr="002E7C76">
        <w:t xml:space="preserve">Despite the allocation of </w:t>
      </w:r>
      <w:r w:rsidRPr="002E7C76">
        <w:rPr>
          <w:spacing w:val="-1"/>
        </w:rPr>
        <w:t>growth</w:t>
      </w:r>
      <w:r w:rsidRPr="002E7C76">
        <w:t xml:space="preserve"> funding during 2013–14 and in 2014–15, </w:t>
      </w:r>
      <w:r w:rsidRPr="002E7C76">
        <w:rPr>
          <w:spacing w:val="-1"/>
        </w:rPr>
        <w:t>there</w:t>
      </w:r>
      <w:r w:rsidRPr="002E7C76">
        <w:t xml:space="preserve"> continues to be</w:t>
      </w:r>
      <w:r w:rsidRPr="002E7C76">
        <w:rPr>
          <w:spacing w:val="21"/>
        </w:rPr>
        <w:t xml:space="preserve"> </w:t>
      </w:r>
      <w:r w:rsidRPr="002E7C76">
        <w:t>a significant gap between the demand for services and the availability of funding.  This demand-</w:t>
      </w:r>
    </w:p>
    <w:p w:rsidR="002F0AF0" w:rsidRPr="002E7C76" w:rsidRDefault="000F5854" w:rsidP="001D59B0">
      <w:pPr>
        <w:pStyle w:val="BodyText"/>
      </w:pPr>
      <w:proofErr w:type="gramStart"/>
      <w:r w:rsidRPr="002E7C76">
        <w:t>supply</w:t>
      </w:r>
      <w:proofErr w:type="gramEnd"/>
      <w:r w:rsidRPr="002E7C76">
        <w:t xml:space="preserve"> gap is a national phenomenon and has been one of the major drivers for national </w:t>
      </w:r>
      <w:r w:rsidRPr="002E7C76">
        <w:rPr>
          <w:spacing w:val="-1"/>
        </w:rPr>
        <w:t>reform</w:t>
      </w:r>
      <w:r w:rsidRPr="002E7C76">
        <w:t xml:space="preserve"> in</w:t>
      </w:r>
      <w:r w:rsidRPr="002E7C76">
        <w:rPr>
          <w:spacing w:val="21"/>
        </w:rPr>
        <w:t xml:space="preserve"> </w:t>
      </w:r>
      <w:r w:rsidRPr="002E7C76">
        <w:t xml:space="preserve">disability services during the past </w:t>
      </w:r>
      <w:r w:rsidRPr="002E7C76">
        <w:rPr>
          <w:spacing w:val="-1"/>
        </w:rPr>
        <w:t>three</w:t>
      </w:r>
      <w:r w:rsidRPr="002E7C76">
        <w:t xml:space="preserve"> years.</w:t>
      </w:r>
    </w:p>
    <w:p w:rsidR="002F0AF0" w:rsidRPr="002E7C76" w:rsidRDefault="000F5854" w:rsidP="001D59B0">
      <w:pPr>
        <w:pStyle w:val="BodyText"/>
      </w:pPr>
      <w:r w:rsidRPr="002E7C76">
        <w:t xml:space="preserve">In years gone </w:t>
      </w:r>
      <w:r w:rsidRPr="002E7C76">
        <w:rPr>
          <w:spacing w:val="-8"/>
        </w:rPr>
        <w:t>by,</w:t>
      </w:r>
      <w:r w:rsidRPr="002E7C76">
        <w:t xml:space="preserve"> the number of people who </w:t>
      </w:r>
      <w:r w:rsidRPr="002E7C76">
        <w:rPr>
          <w:spacing w:val="-2"/>
        </w:rPr>
        <w:t>were</w:t>
      </w:r>
      <w:r w:rsidRPr="002E7C76">
        <w:t xml:space="preserve"> unsuccessful in being </w:t>
      </w:r>
      <w:proofErr w:type="spellStart"/>
      <w:r w:rsidRPr="002E7C76">
        <w:t>prioritised</w:t>
      </w:r>
      <w:proofErr w:type="spellEnd"/>
      <w:r w:rsidRPr="002E7C76">
        <w:t xml:space="preserve"> for funding via</w:t>
      </w:r>
      <w:r w:rsidRPr="002E7C76">
        <w:rPr>
          <w:spacing w:val="24"/>
        </w:rPr>
        <w:t xml:space="preserve"> </w:t>
      </w:r>
      <w:r w:rsidRPr="002E7C76">
        <w:t xml:space="preserve">the </w:t>
      </w:r>
      <w:proofErr w:type="spellStart"/>
      <w:r w:rsidRPr="002E7C76">
        <w:t>centralised</w:t>
      </w:r>
      <w:proofErr w:type="spellEnd"/>
      <w:r w:rsidRPr="002E7C76">
        <w:t xml:space="preserve"> CAP system was used as an indicator of unmet demand for services and funding. </w:t>
      </w:r>
      <w:r w:rsidRPr="002E7C76">
        <w:rPr>
          <w:spacing w:val="1"/>
        </w:rPr>
        <w:t>With</w:t>
      </w:r>
      <w:r w:rsidRPr="002E7C76">
        <w:t xml:space="preserve"> the </w:t>
      </w:r>
      <w:r w:rsidRPr="002E7C76">
        <w:rPr>
          <w:spacing w:val="-1"/>
        </w:rPr>
        <w:t>progressive</w:t>
      </w:r>
      <w:r w:rsidRPr="002E7C76">
        <w:t xml:space="preserve"> </w:t>
      </w:r>
      <w:r w:rsidRPr="002E7C76">
        <w:rPr>
          <w:spacing w:val="-1"/>
        </w:rPr>
        <w:t>introduction</w:t>
      </w:r>
      <w:r w:rsidRPr="002E7C76">
        <w:t xml:space="preserve"> of alternative </w:t>
      </w:r>
      <w:r w:rsidRPr="002E7C76">
        <w:rPr>
          <w:spacing w:val="-2"/>
        </w:rPr>
        <w:t>resource</w:t>
      </w:r>
      <w:r w:rsidRPr="002E7C76">
        <w:t xml:space="preserve"> allocation mechanisms, the raw numbers</w:t>
      </w:r>
      <w:r w:rsidRPr="002E7C76">
        <w:rPr>
          <w:spacing w:val="38"/>
        </w:rPr>
        <w:t xml:space="preserve"> </w:t>
      </w:r>
      <w:r w:rsidRPr="002E7C76">
        <w:rPr>
          <w:spacing w:val="-2"/>
        </w:rPr>
        <w:t>from</w:t>
      </w:r>
      <w:r w:rsidRPr="002E7C76">
        <w:t xml:space="preserve"> the CAP system </w:t>
      </w:r>
      <w:r w:rsidRPr="002E7C76">
        <w:rPr>
          <w:spacing w:val="-2"/>
        </w:rPr>
        <w:t>are</w:t>
      </w:r>
      <w:r w:rsidRPr="002E7C76">
        <w:t xml:space="preserve"> no longer </w:t>
      </w:r>
      <w:r w:rsidRPr="002E7C76">
        <w:rPr>
          <w:spacing w:val="-1"/>
        </w:rPr>
        <w:t>relevant</w:t>
      </w:r>
      <w:r w:rsidRPr="002E7C76">
        <w:t xml:space="preserve"> indicators.</w:t>
      </w:r>
    </w:p>
    <w:p w:rsidR="002F0AF0" w:rsidRPr="002E7C76" w:rsidRDefault="000F5854" w:rsidP="001D59B0">
      <w:pPr>
        <w:pStyle w:val="BodyText"/>
      </w:pPr>
      <w:r w:rsidRPr="002E7C76">
        <w:t xml:space="preserve">While in 2013–14 </w:t>
      </w:r>
      <w:r w:rsidRPr="002E7C76">
        <w:rPr>
          <w:spacing w:val="-1"/>
        </w:rPr>
        <w:t>approximately</w:t>
      </w:r>
      <w:r w:rsidRPr="002E7C76">
        <w:t xml:space="preserve"> 700 people </w:t>
      </w:r>
      <w:r w:rsidRPr="002E7C76">
        <w:rPr>
          <w:spacing w:val="-2"/>
        </w:rPr>
        <w:t>were</w:t>
      </w:r>
      <w:r w:rsidRPr="002E7C76">
        <w:t xml:space="preserve"> unsuccessful in their application for funding</w:t>
      </w:r>
      <w:r w:rsidRPr="002E7C76">
        <w:rPr>
          <w:spacing w:val="22"/>
        </w:rPr>
        <w:t xml:space="preserve"> </w:t>
      </w:r>
      <w:r w:rsidRPr="002E7C76">
        <w:t>via CA</w:t>
      </w:r>
      <w:r w:rsidRPr="002E7C76">
        <w:rPr>
          <w:spacing w:val="-37"/>
        </w:rPr>
        <w:t>P</w:t>
      </w:r>
      <w:r w:rsidRPr="002E7C76">
        <w:t xml:space="preserve">, the vast </w:t>
      </w:r>
      <w:proofErr w:type="gramStart"/>
      <w:r w:rsidRPr="002E7C76">
        <w:t xml:space="preserve">majority of these applicants </w:t>
      </w:r>
      <w:r w:rsidRPr="002E7C76">
        <w:rPr>
          <w:spacing w:val="-5"/>
        </w:rPr>
        <w:t>r</w:t>
      </w:r>
      <w:r w:rsidRPr="002E7C76">
        <w:t>eceive</w:t>
      </w:r>
      <w:proofErr w:type="gramEnd"/>
      <w:r w:rsidRPr="002E7C76">
        <w:t xml:space="preserve"> services or support funding via alte</w:t>
      </w:r>
      <w:r w:rsidRPr="002E7C76">
        <w:rPr>
          <w:spacing w:val="4"/>
        </w:rPr>
        <w:t>r</w:t>
      </w:r>
      <w:r w:rsidRPr="002E7C76">
        <w:t>native means.</w:t>
      </w:r>
    </w:p>
    <w:p w:rsidR="002F0AF0" w:rsidRPr="002E7C76" w:rsidRDefault="000F5854" w:rsidP="001D59B0">
      <w:pPr>
        <w:pStyle w:val="BodyText"/>
      </w:pPr>
      <w:r w:rsidRPr="002E7C76">
        <w:t xml:space="preserve">The Commission is also </w:t>
      </w:r>
      <w:r w:rsidRPr="002E7C76">
        <w:rPr>
          <w:spacing w:val="-1"/>
        </w:rPr>
        <w:t>aware</w:t>
      </w:r>
      <w:r w:rsidRPr="002E7C76">
        <w:t xml:space="preserve"> that a </w:t>
      </w:r>
      <w:r w:rsidRPr="002E7C76">
        <w:rPr>
          <w:spacing w:val="-1"/>
        </w:rPr>
        <w:t>proportion</w:t>
      </w:r>
      <w:r w:rsidRPr="002E7C76">
        <w:t xml:space="preserve"> of the people who lodge applications for support</w:t>
      </w:r>
      <w:r w:rsidRPr="002E7C76">
        <w:rPr>
          <w:spacing w:val="25"/>
        </w:rPr>
        <w:t xml:space="preserve"> </w:t>
      </w:r>
      <w:r w:rsidRPr="002E7C76">
        <w:t xml:space="preserve">funding via the CAP system </w:t>
      </w:r>
      <w:r w:rsidRPr="002E7C76">
        <w:rPr>
          <w:spacing w:val="-2"/>
        </w:rPr>
        <w:t>are</w:t>
      </w:r>
      <w:r w:rsidRPr="002E7C76">
        <w:t xml:space="preserve"> not in critical or urgent need of support, but </w:t>
      </w:r>
      <w:r w:rsidRPr="002E7C76">
        <w:lastRenderedPageBreak/>
        <w:t>continue to lodge CAP</w:t>
      </w:r>
      <w:r w:rsidRPr="002E7C76">
        <w:rPr>
          <w:spacing w:val="21"/>
        </w:rPr>
        <w:t xml:space="preserve"> </w:t>
      </w:r>
      <w:r w:rsidRPr="002E7C76">
        <w:t xml:space="preserve">applications as an early indicator to the Commission that they may </w:t>
      </w:r>
      <w:r w:rsidRPr="002E7C76">
        <w:rPr>
          <w:spacing w:val="-2"/>
        </w:rPr>
        <w:t>require</w:t>
      </w:r>
      <w:r w:rsidRPr="002E7C76">
        <w:t xml:space="preserve"> access to funding at</w:t>
      </w:r>
      <w:r w:rsidRPr="002E7C76">
        <w:rPr>
          <w:spacing w:val="24"/>
        </w:rPr>
        <w:t xml:space="preserve"> </w:t>
      </w:r>
      <w:r w:rsidRPr="002E7C76">
        <w:t xml:space="preserve">some point in the </w:t>
      </w:r>
      <w:r w:rsidRPr="002E7C76">
        <w:rPr>
          <w:spacing w:val="-1"/>
        </w:rPr>
        <w:t>future.</w:t>
      </w:r>
    </w:p>
    <w:p w:rsidR="001D59B0" w:rsidRDefault="001D59B0" w:rsidP="001D59B0">
      <w:pPr>
        <w:pStyle w:val="Heading2"/>
      </w:pPr>
    </w:p>
    <w:p w:rsidR="002F0AF0" w:rsidRPr="002E7C76" w:rsidRDefault="000F5854" w:rsidP="001D59B0">
      <w:pPr>
        <w:pStyle w:val="Heading2"/>
      </w:pPr>
      <w:r w:rsidRPr="002E7C76">
        <w:t xml:space="preserve">Looking </w:t>
      </w:r>
      <w:r w:rsidR="001D59B0">
        <w:rPr>
          <w:spacing w:val="-1"/>
        </w:rPr>
        <w:t xml:space="preserve">Forward: </w:t>
      </w:r>
      <w:r w:rsidRPr="002E7C76">
        <w:rPr>
          <w:spacing w:val="-2"/>
        </w:rPr>
        <w:t>Growth</w:t>
      </w:r>
      <w:r w:rsidRPr="002E7C76">
        <w:t xml:space="preserve"> funding in 2014–15</w:t>
      </w:r>
    </w:p>
    <w:p w:rsidR="002F0AF0" w:rsidRPr="002E7C76" w:rsidRDefault="000F5854" w:rsidP="001D59B0">
      <w:pPr>
        <w:pStyle w:val="BodyText"/>
      </w:pPr>
      <w:r w:rsidRPr="002E7C76">
        <w:t xml:space="preserve">While this edition of the Disability Support Funding Bulletin is a </w:t>
      </w:r>
      <w:r w:rsidRPr="002E7C76">
        <w:rPr>
          <w:spacing w:val="-1"/>
        </w:rPr>
        <w:t>presentation</w:t>
      </w:r>
      <w:r w:rsidRPr="002E7C76">
        <w:t xml:space="preserve"> of funding allocated for</w:t>
      </w:r>
      <w:r w:rsidRPr="002E7C76">
        <w:rPr>
          <w:spacing w:val="27"/>
        </w:rPr>
        <w:t xml:space="preserve"> </w:t>
      </w:r>
      <w:r w:rsidRPr="002E7C76">
        <w:t xml:space="preserve">services during 2013–14, budget information is also available for the </w:t>
      </w:r>
      <w:r w:rsidRPr="002E7C76">
        <w:rPr>
          <w:spacing w:val="-1"/>
        </w:rPr>
        <w:t>current</w:t>
      </w:r>
      <w:r w:rsidRPr="002E7C76">
        <w:t xml:space="preserve"> year (2014–15).</w:t>
      </w:r>
    </w:p>
    <w:p w:rsidR="002F0AF0" w:rsidRPr="002E7C76" w:rsidRDefault="000F5854" w:rsidP="001D59B0">
      <w:pPr>
        <w:pStyle w:val="BodyText"/>
      </w:pPr>
      <w:r w:rsidRPr="002E7C76">
        <w:t xml:space="preserve">The Disability Services Commission has </w:t>
      </w:r>
      <w:r w:rsidRPr="002E7C76">
        <w:rPr>
          <w:spacing w:val="-1"/>
        </w:rPr>
        <w:t>received</w:t>
      </w:r>
      <w:r w:rsidRPr="002E7C76">
        <w:t xml:space="preserve"> $30 million in State and Commonwealth </w:t>
      </w:r>
      <w:r w:rsidRPr="002E7C76">
        <w:rPr>
          <w:spacing w:val="-1"/>
        </w:rPr>
        <w:t>growth</w:t>
      </w:r>
      <w:r w:rsidRPr="002E7C76">
        <w:rPr>
          <w:spacing w:val="24"/>
        </w:rPr>
        <w:t xml:space="preserve"> </w:t>
      </w:r>
      <w:r w:rsidRPr="002E7C76">
        <w:t xml:space="preserve">funding for 2014–15. This funding will be available to individuals to </w:t>
      </w:r>
      <w:r w:rsidRPr="002E7C76">
        <w:rPr>
          <w:spacing w:val="-1"/>
        </w:rPr>
        <w:t>purchase</w:t>
      </w:r>
      <w:r w:rsidRPr="002E7C76">
        <w:t xml:space="preserve"> supports and services</w:t>
      </w:r>
      <w:r w:rsidRPr="002E7C76">
        <w:rPr>
          <w:spacing w:val="23"/>
        </w:rPr>
        <w:t xml:space="preserve"> </w:t>
      </w:r>
      <w:r w:rsidRPr="002E7C76">
        <w:t xml:space="preserve">during the 2014–15 </w:t>
      </w:r>
      <w:r w:rsidRPr="002E7C76">
        <w:rPr>
          <w:spacing w:val="-5"/>
        </w:rPr>
        <w:t>year.</w:t>
      </w:r>
    </w:p>
    <w:p w:rsidR="002F0AF0" w:rsidRPr="002E7C76" w:rsidRDefault="000F5854" w:rsidP="001D59B0">
      <w:pPr>
        <w:pStyle w:val="BodyText"/>
      </w:pPr>
      <w:r w:rsidRPr="002E7C76">
        <w:t xml:space="preserve">Similar to 2013–14, almost all of the funding will be allocated for </w:t>
      </w:r>
      <w:proofErr w:type="spellStart"/>
      <w:r w:rsidRPr="002E7C76">
        <w:t>individualised</w:t>
      </w:r>
      <w:proofErr w:type="spellEnd"/>
      <w:r w:rsidRPr="002E7C76">
        <w:t xml:space="preserve"> services and a small component will be used to </w:t>
      </w:r>
      <w:r w:rsidRPr="002E7C76">
        <w:rPr>
          <w:spacing w:val="-1"/>
        </w:rPr>
        <w:t>increase</w:t>
      </w:r>
      <w:r w:rsidRPr="002E7C76">
        <w:t xml:space="preserve"> service capacity via block funding in </w:t>
      </w:r>
      <w:r w:rsidRPr="002E7C76">
        <w:rPr>
          <w:spacing w:val="-1"/>
        </w:rPr>
        <w:t>areas</w:t>
      </w:r>
      <w:r w:rsidRPr="002E7C76">
        <w:t xml:space="preserve"> such as </w:t>
      </w:r>
      <w:r w:rsidRPr="002E7C76">
        <w:rPr>
          <w:spacing w:val="-1"/>
        </w:rPr>
        <w:t>respite</w:t>
      </w:r>
      <w:r w:rsidRPr="002E7C76">
        <w:rPr>
          <w:spacing w:val="25"/>
        </w:rPr>
        <w:t xml:space="preserve"> </w:t>
      </w:r>
      <w:r w:rsidRPr="002E7C76">
        <w:t xml:space="preserve">services, aids and equipment, disability </w:t>
      </w:r>
      <w:r w:rsidRPr="002E7C76">
        <w:rPr>
          <w:spacing w:val="-1"/>
        </w:rPr>
        <w:t>professional</w:t>
      </w:r>
      <w:r w:rsidRPr="002E7C76">
        <w:t xml:space="preserve"> services and continence management.</w:t>
      </w:r>
    </w:p>
    <w:p w:rsidR="002F0AF0" w:rsidRPr="002E7C76" w:rsidRDefault="000F5854" w:rsidP="001D59B0">
      <w:pPr>
        <w:pStyle w:val="BodyText"/>
      </w:pPr>
      <w:r w:rsidRPr="002E7C76">
        <w:t xml:space="preserve">Some existing clients who </w:t>
      </w:r>
      <w:r w:rsidRPr="002E7C76">
        <w:rPr>
          <w:spacing w:val="-2"/>
        </w:rPr>
        <w:t>are</w:t>
      </w:r>
      <w:r w:rsidRPr="002E7C76">
        <w:t xml:space="preserve"> experiencing changed </w:t>
      </w:r>
      <w:r w:rsidRPr="002E7C76">
        <w:rPr>
          <w:spacing w:val="-1"/>
        </w:rPr>
        <w:t>circumstances</w:t>
      </w:r>
      <w:r w:rsidRPr="002E7C76">
        <w:t xml:space="preserve"> and new clients will benefit</w:t>
      </w:r>
      <w:r w:rsidRPr="002E7C76">
        <w:rPr>
          <w:spacing w:val="29"/>
        </w:rPr>
        <w:t xml:space="preserve"> </w:t>
      </w:r>
      <w:r w:rsidRPr="002E7C76">
        <w:rPr>
          <w:spacing w:val="-2"/>
        </w:rPr>
        <w:t>from</w:t>
      </w:r>
      <w:r w:rsidRPr="002E7C76">
        <w:t xml:space="preserve"> the </w:t>
      </w:r>
      <w:r w:rsidRPr="002E7C76">
        <w:rPr>
          <w:spacing w:val="-1"/>
        </w:rPr>
        <w:t>growth</w:t>
      </w:r>
      <w:r w:rsidRPr="002E7C76">
        <w:t xml:space="preserve"> funds in </w:t>
      </w:r>
      <w:r w:rsidRPr="002E7C76">
        <w:rPr>
          <w:spacing w:val="-1"/>
        </w:rPr>
        <w:t>accordance</w:t>
      </w:r>
      <w:r w:rsidRPr="002E7C76">
        <w:t xml:space="preserve"> with support </w:t>
      </w:r>
      <w:r w:rsidRPr="002E7C76">
        <w:rPr>
          <w:spacing w:val="-1"/>
        </w:rPr>
        <w:t>requirements</w:t>
      </w:r>
      <w:r w:rsidRPr="002E7C76">
        <w:t xml:space="preserve"> identified in their individual plan.</w:t>
      </w:r>
    </w:p>
    <w:p w:rsidR="002F0AF0" w:rsidRPr="002E7C76" w:rsidRDefault="000F5854" w:rsidP="001D59B0">
      <w:pPr>
        <w:pStyle w:val="BodyText"/>
      </w:pPr>
      <w:r w:rsidRPr="002E7C76">
        <w:rPr>
          <w:rFonts w:eastAsia="Helvetica Neue"/>
          <w:b/>
          <w:bCs/>
          <w:spacing w:val="-1"/>
        </w:rPr>
        <w:t>Figure</w:t>
      </w:r>
      <w:r w:rsidRPr="002E7C76">
        <w:rPr>
          <w:rFonts w:eastAsia="Helvetica Neue"/>
          <w:b/>
          <w:bCs/>
        </w:rPr>
        <w:t xml:space="preserve"> 3 </w:t>
      </w:r>
      <w:r w:rsidRPr="002E7C76">
        <w:rPr>
          <w:spacing w:val="-1"/>
        </w:rPr>
        <w:t>provides</w:t>
      </w:r>
      <w:r w:rsidRPr="002E7C76">
        <w:t xml:space="preserve"> information on the expected distribution of the funding for </w:t>
      </w:r>
      <w:proofErr w:type="spellStart"/>
      <w:r w:rsidRPr="002E7C76">
        <w:t>individualised</w:t>
      </w:r>
      <w:proofErr w:type="spellEnd"/>
      <w:r w:rsidRPr="002E7C76">
        <w:t xml:space="preserve"> services</w:t>
      </w:r>
      <w:r w:rsidRPr="002E7C76">
        <w:rPr>
          <w:spacing w:val="24"/>
        </w:rPr>
        <w:t xml:space="preserve"> </w:t>
      </w:r>
      <w:r w:rsidRPr="002E7C76">
        <w:t>in</w:t>
      </w:r>
      <w:r w:rsidRPr="002E7C76">
        <w:rPr>
          <w:spacing w:val="-1"/>
        </w:rPr>
        <w:t xml:space="preserve"> </w:t>
      </w:r>
      <w:r w:rsidRPr="002E7C76">
        <w:t>2014–15.</w:t>
      </w:r>
      <w:r w:rsidRPr="002E7C76">
        <w:rPr>
          <w:spacing w:val="-1"/>
        </w:rPr>
        <w:t xml:space="preserve"> </w:t>
      </w:r>
      <w:r w:rsidRPr="002E7C76">
        <w:t>Note: the</w:t>
      </w:r>
      <w:r w:rsidRPr="002E7C76">
        <w:rPr>
          <w:spacing w:val="-1"/>
        </w:rPr>
        <w:t xml:space="preserve"> </w:t>
      </w:r>
      <w:r w:rsidRPr="002E7C76">
        <w:t>final distribution</w:t>
      </w:r>
      <w:r w:rsidRPr="002E7C76">
        <w:rPr>
          <w:spacing w:val="-1"/>
        </w:rPr>
        <w:t xml:space="preserve"> </w:t>
      </w:r>
      <w:r w:rsidRPr="002E7C76">
        <w:t>may be</w:t>
      </w:r>
      <w:r w:rsidRPr="002E7C76">
        <w:rPr>
          <w:spacing w:val="-1"/>
        </w:rPr>
        <w:t xml:space="preserve"> </w:t>
      </w:r>
      <w:r w:rsidRPr="002E7C76">
        <w:t>slightly</w:t>
      </w:r>
      <w:r w:rsidRPr="002E7C76">
        <w:rPr>
          <w:spacing w:val="-1"/>
        </w:rPr>
        <w:t xml:space="preserve"> different.</w:t>
      </w:r>
    </w:p>
    <w:p w:rsidR="002F0AF0" w:rsidRPr="002E7C76" w:rsidRDefault="002F0AF0" w:rsidP="001D59B0">
      <w:pPr>
        <w:spacing w:before="2"/>
        <w:ind w:left="630"/>
        <w:rPr>
          <w:rFonts w:ascii="Arial" w:eastAsia="Helvetica Neue Light" w:hAnsi="Arial" w:cs="Arial"/>
          <w:color w:val="000000" w:themeColor="text1"/>
          <w:sz w:val="25"/>
          <w:szCs w:val="25"/>
        </w:rPr>
      </w:pPr>
    </w:p>
    <w:p w:rsidR="002F0AF0" w:rsidRDefault="000F5854" w:rsidP="001D59B0">
      <w:pPr>
        <w:pStyle w:val="Heading2"/>
      </w:pPr>
      <w:r w:rsidRPr="002E7C76">
        <w:rPr>
          <w:spacing w:val="-1"/>
        </w:rPr>
        <w:t>Figure</w:t>
      </w:r>
      <w:r w:rsidRPr="002E7C76">
        <w:t xml:space="preserve"> 3: </w:t>
      </w:r>
      <w:r w:rsidRPr="002E7C76">
        <w:rPr>
          <w:spacing w:val="-1"/>
        </w:rPr>
        <w:t>Proposed</w:t>
      </w:r>
      <w:r w:rsidRPr="002E7C76">
        <w:t xml:space="preserve"> </w:t>
      </w:r>
      <w:r w:rsidRPr="002E7C76">
        <w:rPr>
          <w:spacing w:val="-1"/>
        </w:rPr>
        <w:t>growth</w:t>
      </w:r>
      <w:r w:rsidRPr="002E7C76">
        <w:t xml:space="preserve"> funding allocation by services in 2014–15</w:t>
      </w:r>
    </w:p>
    <w:p w:rsidR="001D59B0" w:rsidRPr="002E7C76" w:rsidRDefault="001D59B0" w:rsidP="000523EC">
      <w:pPr>
        <w:pStyle w:val="Heading2"/>
        <w:rPr>
          <w:b w:val="0"/>
          <w:bCs/>
        </w:rPr>
      </w:pPr>
      <w:r>
        <w:rPr>
          <w:noProof/>
          <w:lang w:val="en-AU" w:eastAsia="en-AU"/>
        </w:rPr>
        <w:drawing>
          <wp:inline distT="0" distB="0" distL="0" distR="0" wp14:anchorId="792FDE1D" wp14:editId="3C68EB2F">
            <wp:extent cx="6534150" cy="4895850"/>
            <wp:effectExtent l="0" t="0" r="19050" b="19050"/>
            <wp:docPr id="1" name="Chart 1" descr="Accommodation support: 31 per cent&#10;School leavers support: 23.7&#10;Supported community living: 13 per cent&#10;Disability professional services: 10.1 per cent&#10;Alternatives to employment: 4.2 per cent&#10;Family living initiative: 4.2 per cent&#10;Family living initiative: 4.2 per cent&#10;Aged carer: 3.8 per cent&#10;Local area coordination: 3.3 per cent&#10;Disability justice centres: 1.7 per cent&#10;Community aids and equipment: 0.9 per cent" title="Figure 3: Proposed growth funding allocation by services in 2014–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F0AF0" w:rsidRPr="002E7C76" w:rsidRDefault="002F0AF0">
      <w:pPr>
        <w:rPr>
          <w:rFonts w:ascii="Arial" w:eastAsia="Helvetica Neue" w:hAnsi="Arial" w:cs="Arial"/>
          <w:b/>
          <w:bCs/>
          <w:color w:val="000000" w:themeColor="text1"/>
          <w:sz w:val="20"/>
          <w:szCs w:val="20"/>
        </w:rPr>
      </w:pPr>
    </w:p>
    <w:p w:rsidR="002F0AF0" w:rsidRPr="002E7C76" w:rsidRDefault="000F5854" w:rsidP="000523EC">
      <w:pPr>
        <w:pStyle w:val="BodyText"/>
      </w:pPr>
      <w:r w:rsidRPr="002E7C76">
        <w:t xml:space="preserve">It is important to note that the funding arrangements outlined in this bulletin apply to all </w:t>
      </w:r>
      <w:r w:rsidRPr="002E7C76">
        <w:rPr>
          <w:spacing w:val="-1"/>
        </w:rPr>
        <w:lastRenderedPageBreak/>
        <w:t>areas</w:t>
      </w:r>
      <w:r w:rsidRPr="002E7C76">
        <w:t xml:space="preserve"> of </w:t>
      </w:r>
      <w:r w:rsidRPr="002E7C76">
        <w:rPr>
          <w:spacing w:val="-1"/>
        </w:rPr>
        <w:t xml:space="preserve">Western </w:t>
      </w:r>
      <w:r w:rsidRPr="002E7C76">
        <w:t>Australia other</w:t>
      </w:r>
      <w:r w:rsidRPr="002E7C76">
        <w:rPr>
          <w:spacing w:val="-1"/>
        </w:rPr>
        <w:t xml:space="preserve"> </w:t>
      </w:r>
      <w:r w:rsidRPr="002E7C76">
        <w:t>than the NDIS</w:t>
      </w:r>
      <w:r w:rsidRPr="002E7C76">
        <w:rPr>
          <w:spacing w:val="-1"/>
        </w:rPr>
        <w:t xml:space="preserve"> </w:t>
      </w:r>
      <w:r w:rsidRPr="002E7C76">
        <w:t>trial site</w:t>
      </w:r>
      <w:r w:rsidRPr="002E7C76">
        <w:rPr>
          <w:spacing w:val="-1"/>
        </w:rPr>
        <w:t xml:space="preserve"> </w:t>
      </w:r>
      <w:r w:rsidRPr="002E7C76">
        <w:t xml:space="preserve">locations.  </w:t>
      </w:r>
      <w:r w:rsidRPr="002E7C76">
        <w:rPr>
          <w:spacing w:val="-1"/>
        </w:rPr>
        <w:t xml:space="preserve">Different </w:t>
      </w:r>
      <w:r w:rsidRPr="002E7C76">
        <w:t xml:space="preserve">funding arrangements </w:t>
      </w:r>
      <w:r w:rsidRPr="002E7C76">
        <w:rPr>
          <w:spacing w:val="-2"/>
        </w:rPr>
        <w:t>are</w:t>
      </w:r>
      <w:r w:rsidRPr="002E7C76">
        <w:rPr>
          <w:spacing w:val="-1"/>
        </w:rPr>
        <w:t xml:space="preserve"> </w:t>
      </w:r>
      <w:r w:rsidRPr="002E7C76">
        <w:t>being</w:t>
      </w:r>
      <w:r w:rsidRPr="002E7C76">
        <w:rPr>
          <w:spacing w:val="22"/>
        </w:rPr>
        <w:t xml:space="preserve"> </w:t>
      </w:r>
      <w:r w:rsidRPr="002E7C76">
        <w:t xml:space="preserve">used for the NDIS trial site </w:t>
      </w:r>
      <w:r w:rsidRPr="002E7C76">
        <w:rPr>
          <w:spacing w:val="-2"/>
        </w:rPr>
        <w:t>area</w:t>
      </w:r>
      <w:r w:rsidRPr="002E7C76">
        <w:t xml:space="preserve"> in the Perth Hills and the </w:t>
      </w:r>
      <w:r w:rsidRPr="002E7C76">
        <w:rPr>
          <w:spacing w:val="-3"/>
        </w:rPr>
        <w:t>WA</w:t>
      </w:r>
      <w:r w:rsidRPr="002E7C76">
        <w:t xml:space="preserve"> NDIS My </w:t>
      </w:r>
      <w:r w:rsidRPr="002E7C76">
        <w:rPr>
          <w:spacing w:val="-3"/>
        </w:rPr>
        <w:t>Way</w:t>
      </w:r>
      <w:r w:rsidRPr="002E7C76">
        <w:t xml:space="preserve"> trial site </w:t>
      </w:r>
      <w:r w:rsidRPr="002E7C76">
        <w:rPr>
          <w:spacing w:val="-1"/>
        </w:rPr>
        <w:t>areas</w:t>
      </w:r>
      <w:r w:rsidRPr="002E7C76">
        <w:t xml:space="preserve"> in the</w:t>
      </w:r>
      <w:r w:rsidRPr="002E7C76">
        <w:rPr>
          <w:spacing w:val="24"/>
        </w:rPr>
        <w:t xml:space="preserve"> </w:t>
      </w:r>
      <w:r w:rsidRPr="002E7C76">
        <w:t xml:space="preserve">Lower South </w:t>
      </w:r>
      <w:r w:rsidRPr="002E7C76">
        <w:rPr>
          <w:spacing w:val="-2"/>
        </w:rPr>
        <w:t>West</w:t>
      </w:r>
      <w:r w:rsidRPr="002E7C76">
        <w:t xml:space="preserve"> and Cockburn–</w:t>
      </w:r>
      <w:proofErr w:type="spellStart"/>
      <w:r w:rsidRPr="002E7C76">
        <w:t>Kwinana</w:t>
      </w:r>
      <w:proofErr w:type="spellEnd"/>
      <w:r w:rsidRPr="002E7C76">
        <w:t>.</w:t>
      </w:r>
    </w:p>
    <w:p w:rsidR="001D59B0" w:rsidRDefault="001D59B0" w:rsidP="00233E38">
      <w:pPr>
        <w:pStyle w:val="Heading2"/>
      </w:pPr>
    </w:p>
    <w:p w:rsidR="002F0AF0" w:rsidRPr="002E7C76" w:rsidRDefault="000F5854" w:rsidP="00233E38">
      <w:pPr>
        <w:pStyle w:val="Heading2"/>
      </w:pPr>
      <w:r w:rsidRPr="002E7C76">
        <w:t>Further information</w:t>
      </w:r>
    </w:p>
    <w:p w:rsidR="00233E38" w:rsidRDefault="000F5854" w:rsidP="000523EC">
      <w:pPr>
        <w:pStyle w:val="BodyText"/>
      </w:pPr>
      <w:r w:rsidRPr="002E7C76">
        <w:t xml:space="preserve">For further information please contact: </w:t>
      </w:r>
    </w:p>
    <w:p w:rsidR="002F0AF0" w:rsidRPr="002E7C76" w:rsidRDefault="000F5854" w:rsidP="000523EC">
      <w:pPr>
        <w:pStyle w:val="BodyText"/>
      </w:pPr>
      <w:r w:rsidRPr="002E7C76">
        <w:t xml:space="preserve">Michael </w:t>
      </w:r>
      <w:r w:rsidRPr="002E7C76">
        <w:rPr>
          <w:spacing w:val="-1"/>
        </w:rPr>
        <w:t>Carroll</w:t>
      </w:r>
    </w:p>
    <w:p w:rsidR="002F0AF0" w:rsidRPr="002E7C76" w:rsidRDefault="000F5854" w:rsidP="000523EC">
      <w:pPr>
        <w:pStyle w:val="BodyText"/>
      </w:pPr>
      <w:r w:rsidRPr="002E7C76">
        <w:rPr>
          <w:spacing w:val="-3"/>
        </w:rPr>
        <w:t>Manager,</w:t>
      </w:r>
      <w:r w:rsidRPr="002E7C76">
        <w:t xml:space="preserve"> Planning and Information Analysis Branch</w:t>
      </w:r>
      <w:r w:rsidRPr="002E7C76">
        <w:rPr>
          <w:spacing w:val="21"/>
        </w:rPr>
        <w:t xml:space="preserve"> </w:t>
      </w:r>
      <w:r w:rsidRPr="002E7C76">
        <w:t xml:space="preserve">Strategy </w:t>
      </w:r>
      <w:r w:rsidRPr="002E7C76">
        <w:rPr>
          <w:spacing w:val="-1"/>
        </w:rPr>
        <w:t>Directorate</w:t>
      </w:r>
    </w:p>
    <w:p w:rsidR="00757D6D" w:rsidRDefault="000F5854" w:rsidP="000523EC">
      <w:pPr>
        <w:pStyle w:val="BodyText"/>
      </w:pPr>
      <w:r w:rsidRPr="002E7C76">
        <w:t xml:space="preserve">Disability Services Commission </w:t>
      </w:r>
    </w:p>
    <w:p w:rsidR="002F0AF0" w:rsidRPr="002E7C76" w:rsidRDefault="000F5854" w:rsidP="000523EC">
      <w:pPr>
        <w:pStyle w:val="BodyText"/>
      </w:pPr>
      <w:r w:rsidRPr="002E7C76">
        <w:t>Phone: 9426 9776</w:t>
      </w:r>
    </w:p>
    <w:p w:rsidR="002F0AF0" w:rsidRPr="002E7C76" w:rsidRDefault="000F5854" w:rsidP="000523EC">
      <w:pPr>
        <w:pStyle w:val="BodyText"/>
      </w:pPr>
      <w:r w:rsidRPr="002E7C76">
        <w:t xml:space="preserve">Email: </w:t>
      </w:r>
      <w:hyperlink r:id="rId13" w:history="1">
        <w:r w:rsidRPr="00757D6D">
          <w:rPr>
            <w:rStyle w:val="Hyperlink"/>
            <w:spacing w:val="-1"/>
          </w:rPr>
          <w:t>michael.carroll@dsc.wa.gov.au</w:t>
        </w:r>
      </w:hyperlink>
      <w:r w:rsidR="00757D6D">
        <w:rPr>
          <w:spacing w:val="-1"/>
        </w:rPr>
        <w:t xml:space="preserve"> </w:t>
      </w:r>
    </w:p>
    <w:sectPr w:rsidR="002F0AF0" w:rsidRPr="002E7C76" w:rsidSect="001D59B0">
      <w:footerReference w:type="default" r:id="rId14"/>
      <w:pgSz w:w="11910" w:h="16840"/>
      <w:pgMar w:top="780" w:right="760" w:bottom="426" w:left="2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CB5" w:rsidRDefault="00171CB5">
      <w:r>
        <w:separator/>
      </w:r>
    </w:p>
  </w:endnote>
  <w:endnote w:type="continuationSeparator" w:id="0">
    <w:p w:rsidR="00171CB5" w:rsidRDefault="00171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Light">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AF0" w:rsidRDefault="002F0AF0">
    <w:pPr>
      <w:spacing w:line="14" w:lineRule="auto"/>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AF0" w:rsidRDefault="002F0AF0">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CB5" w:rsidRDefault="00171CB5">
      <w:r>
        <w:separator/>
      </w:r>
    </w:p>
  </w:footnote>
  <w:footnote w:type="continuationSeparator" w:id="0">
    <w:p w:rsidR="00171CB5" w:rsidRDefault="00171C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8372A"/>
    <w:multiLevelType w:val="hybridMultilevel"/>
    <w:tmpl w:val="0E44BBC6"/>
    <w:lvl w:ilvl="0" w:tplc="0C090001">
      <w:start w:val="1"/>
      <w:numFmt w:val="bullet"/>
      <w:lvlText w:val=""/>
      <w:lvlJc w:val="left"/>
      <w:pPr>
        <w:ind w:left="1350" w:hanging="360"/>
      </w:pPr>
      <w:rPr>
        <w:rFonts w:ascii="Symbol" w:hAnsi="Symbol" w:hint="default"/>
      </w:rPr>
    </w:lvl>
    <w:lvl w:ilvl="1" w:tplc="0C090003" w:tentative="1">
      <w:start w:val="1"/>
      <w:numFmt w:val="bullet"/>
      <w:lvlText w:val="o"/>
      <w:lvlJc w:val="left"/>
      <w:pPr>
        <w:ind w:left="2070" w:hanging="360"/>
      </w:pPr>
      <w:rPr>
        <w:rFonts w:ascii="Courier New" w:hAnsi="Courier New" w:cs="Courier New" w:hint="default"/>
      </w:rPr>
    </w:lvl>
    <w:lvl w:ilvl="2" w:tplc="0C090005" w:tentative="1">
      <w:start w:val="1"/>
      <w:numFmt w:val="bullet"/>
      <w:lvlText w:val=""/>
      <w:lvlJc w:val="left"/>
      <w:pPr>
        <w:ind w:left="2790" w:hanging="360"/>
      </w:pPr>
      <w:rPr>
        <w:rFonts w:ascii="Wingdings" w:hAnsi="Wingdings" w:hint="default"/>
      </w:rPr>
    </w:lvl>
    <w:lvl w:ilvl="3" w:tplc="0C090001" w:tentative="1">
      <w:start w:val="1"/>
      <w:numFmt w:val="bullet"/>
      <w:lvlText w:val=""/>
      <w:lvlJc w:val="left"/>
      <w:pPr>
        <w:ind w:left="3510" w:hanging="360"/>
      </w:pPr>
      <w:rPr>
        <w:rFonts w:ascii="Symbol" w:hAnsi="Symbol" w:hint="default"/>
      </w:rPr>
    </w:lvl>
    <w:lvl w:ilvl="4" w:tplc="0C090003" w:tentative="1">
      <w:start w:val="1"/>
      <w:numFmt w:val="bullet"/>
      <w:lvlText w:val="o"/>
      <w:lvlJc w:val="left"/>
      <w:pPr>
        <w:ind w:left="4230" w:hanging="360"/>
      </w:pPr>
      <w:rPr>
        <w:rFonts w:ascii="Courier New" w:hAnsi="Courier New" w:cs="Courier New" w:hint="default"/>
      </w:rPr>
    </w:lvl>
    <w:lvl w:ilvl="5" w:tplc="0C090005" w:tentative="1">
      <w:start w:val="1"/>
      <w:numFmt w:val="bullet"/>
      <w:lvlText w:val=""/>
      <w:lvlJc w:val="left"/>
      <w:pPr>
        <w:ind w:left="4950" w:hanging="360"/>
      </w:pPr>
      <w:rPr>
        <w:rFonts w:ascii="Wingdings" w:hAnsi="Wingdings" w:hint="default"/>
      </w:rPr>
    </w:lvl>
    <w:lvl w:ilvl="6" w:tplc="0C090001" w:tentative="1">
      <w:start w:val="1"/>
      <w:numFmt w:val="bullet"/>
      <w:lvlText w:val=""/>
      <w:lvlJc w:val="left"/>
      <w:pPr>
        <w:ind w:left="5670" w:hanging="360"/>
      </w:pPr>
      <w:rPr>
        <w:rFonts w:ascii="Symbol" w:hAnsi="Symbol" w:hint="default"/>
      </w:rPr>
    </w:lvl>
    <w:lvl w:ilvl="7" w:tplc="0C090003" w:tentative="1">
      <w:start w:val="1"/>
      <w:numFmt w:val="bullet"/>
      <w:lvlText w:val="o"/>
      <w:lvlJc w:val="left"/>
      <w:pPr>
        <w:ind w:left="6390" w:hanging="360"/>
      </w:pPr>
      <w:rPr>
        <w:rFonts w:ascii="Courier New" w:hAnsi="Courier New" w:cs="Courier New" w:hint="default"/>
      </w:rPr>
    </w:lvl>
    <w:lvl w:ilvl="8" w:tplc="0C090005" w:tentative="1">
      <w:start w:val="1"/>
      <w:numFmt w:val="bullet"/>
      <w:lvlText w:val=""/>
      <w:lvlJc w:val="left"/>
      <w:pPr>
        <w:ind w:left="7110" w:hanging="360"/>
      </w:pPr>
      <w:rPr>
        <w:rFonts w:ascii="Wingdings" w:hAnsi="Wingdings" w:hint="default"/>
      </w:rPr>
    </w:lvl>
  </w:abstractNum>
  <w:abstractNum w:abstractNumId="1">
    <w:nsid w:val="14B766C5"/>
    <w:multiLevelType w:val="hybridMultilevel"/>
    <w:tmpl w:val="08225AC0"/>
    <w:lvl w:ilvl="0" w:tplc="0C090001">
      <w:start w:val="1"/>
      <w:numFmt w:val="bullet"/>
      <w:lvlText w:val=""/>
      <w:lvlJc w:val="left"/>
      <w:pPr>
        <w:ind w:left="1350" w:hanging="360"/>
      </w:pPr>
      <w:rPr>
        <w:rFonts w:ascii="Symbol" w:hAnsi="Symbol" w:hint="default"/>
      </w:rPr>
    </w:lvl>
    <w:lvl w:ilvl="1" w:tplc="0C090003" w:tentative="1">
      <w:start w:val="1"/>
      <w:numFmt w:val="bullet"/>
      <w:lvlText w:val="o"/>
      <w:lvlJc w:val="left"/>
      <w:pPr>
        <w:ind w:left="2070" w:hanging="360"/>
      </w:pPr>
      <w:rPr>
        <w:rFonts w:ascii="Courier New" w:hAnsi="Courier New" w:cs="Courier New" w:hint="default"/>
      </w:rPr>
    </w:lvl>
    <w:lvl w:ilvl="2" w:tplc="0C090005" w:tentative="1">
      <w:start w:val="1"/>
      <w:numFmt w:val="bullet"/>
      <w:lvlText w:val=""/>
      <w:lvlJc w:val="left"/>
      <w:pPr>
        <w:ind w:left="2790" w:hanging="360"/>
      </w:pPr>
      <w:rPr>
        <w:rFonts w:ascii="Wingdings" w:hAnsi="Wingdings" w:hint="default"/>
      </w:rPr>
    </w:lvl>
    <w:lvl w:ilvl="3" w:tplc="0C090001" w:tentative="1">
      <w:start w:val="1"/>
      <w:numFmt w:val="bullet"/>
      <w:lvlText w:val=""/>
      <w:lvlJc w:val="left"/>
      <w:pPr>
        <w:ind w:left="3510" w:hanging="360"/>
      </w:pPr>
      <w:rPr>
        <w:rFonts w:ascii="Symbol" w:hAnsi="Symbol" w:hint="default"/>
      </w:rPr>
    </w:lvl>
    <w:lvl w:ilvl="4" w:tplc="0C090003" w:tentative="1">
      <w:start w:val="1"/>
      <w:numFmt w:val="bullet"/>
      <w:lvlText w:val="o"/>
      <w:lvlJc w:val="left"/>
      <w:pPr>
        <w:ind w:left="4230" w:hanging="360"/>
      </w:pPr>
      <w:rPr>
        <w:rFonts w:ascii="Courier New" w:hAnsi="Courier New" w:cs="Courier New" w:hint="default"/>
      </w:rPr>
    </w:lvl>
    <w:lvl w:ilvl="5" w:tplc="0C090005" w:tentative="1">
      <w:start w:val="1"/>
      <w:numFmt w:val="bullet"/>
      <w:lvlText w:val=""/>
      <w:lvlJc w:val="left"/>
      <w:pPr>
        <w:ind w:left="4950" w:hanging="360"/>
      </w:pPr>
      <w:rPr>
        <w:rFonts w:ascii="Wingdings" w:hAnsi="Wingdings" w:hint="default"/>
      </w:rPr>
    </w:lvl>
    <w:lvl w:ilvl="6" w:tplc="0C090001" w:tentative="1">
      <w:start w:val="1"/>
      <w:numFmt w:val="bullet"/>
      <w:lvlText w:val=""/>
      <w:lvlJc w:val="left"/>
      <w:pPr>
        <w:ind w:left="5670" w:hanging="360"/>
      </w:pPr>
      <w:rPr>
        <w:rFonts w:ascii="Symbol" w:hAnsi="Symbol" w:hint="default"/>
      </w:rPr>
    </w:lvl>
    <w:lvl w:ilvl="7" w:tplc="0C090003" w:tentative="1">
      <w:start w:val="1"/>
      <w:numFmt w:val="bullet"/>
      <w:lvlText w:val="o"/>
      <w:lvlJc w:val="left"/>
      <w:pPr>
        <w:ind w:left="6390" w:hanging="360"/>
      </w:pPr>
      <w:rPr>
        <w:rFonts w:ascii="Courier New" w:hAnsi="Courier New" w:cs="Courier New" w:hint="default"/>
      </w:rPr>
    </w:lvl>
    <w:lvl w:ilvl="8" w:tplc="0C090005" w:tentative="1">
      <w:start w:val="1"/>
      <w:numFmt w:val="bullet"/>
      <w:lvlText w:val=""/>
      <w:lvlJc w:val="left"/>
      <w:pPr>
        <w:ind w:left="7110" w:hanging="360"/>
      </w:pPr>
      <w:rPr>
        <w:rFonts w:ascii="Wingdings" w:hAnsi="Wingdings" w:hint="default"/>
      </w:rPr>
    </w:lvl>
  </w:abstractNum>
  <w:abstractNum w:abstractNumId="2">
    <w:nsid w:val="1DB25CC2"/>
    <w:multiLevelType w:val="hybridMultilevel"/>
    <w:tmpl w:val="B5AC21C6"/>
    <w:lvl w:ilvl="0" w:tplc="0C090001">
      <w:start w:val="1"/>
      <w:numFmt w:val="bullet"/>
      <w:lvlText w:val=""/>
      <w:lvlJc w:val="left"/>
      <w:pPr>
        <w:ind w:left="1350" w:hanging="360"/>
      </w:pPr>
      <w:rPr>
        <w:rFonts w:ascii="Symbol" w:hAnsi="Symbol" w:hint="default"/>
      </w:rPr>
    </w:lvl>
    <w:lvl w:ilvl="1" w:tplc="0C090003" w:tentative="1">
      <w:start w:val="1"/>
      <w:numFmt w:val="bullet"/>
      <w:lvlText w:val="o"/>
      <w:lvlJc w:val="left"/>
      <w:pPr>
        <w:ind w:left="2070" w:hanging="360"/>
      </w:pPr>
      <w:rPr>
        <w:rFonts w:ascii="Courier New" w:hAnsi="Courier New" w:cs="Courier New" w:hint="default"/>
      </w:rPr>
    </w:lvl>
    <w:lvl w:ilvl="2" w:tplc="0C090005" w:tentative="1">
      <w:start w:val="1"/>
      <w:numFmt w:val="bullet"/>
      <w:lvlText w:val=""/>
      <w:lvlJc w:val="left"/>
      <w:pPr>
        <w:ind w:left="2790" w:hanging="360"/>
      </w:pPr>
      <w:rPr>
        <w:rFonts w:ascii="Wingdings" w:hAnsi="Wingdings" w:hint="default"/>
      </w:rPr>
    </w:lvl>
    <w:lvl w:ilvl="3" w:tplc="0C090001" w:tentative="1">
      <w:start w:val="1"/>
      <w:numFmt w:val="bullet"/>
      <w:lvlText w:val=""/>
      <w:lvlJc w:val="left"/>
      <w:pPr>
        <w:ind w:left="3510" w:hanging="360"/>
      </w:pPr>
      <w:rPr>
        <w:rFonts w:ascii="Symbol" w:hAnsi="Symbol" w:hint="default"/>
      </w:rPr>
    </w:lvl>
    <w:lvl w:ilvl="4" w:tplc="0C090003" w:tentative="1">
      <w:start w:val="1"/>
      <w:numFmt w:val="bullet"/>
      <w:lvlText w:val="o"/>
      <w:lvlJc w:val="left"/>
      <w:pPr>
        <w:ind w:left="4230" w:hanging="360"/>
      </w:pPr>
      <w:rPr>
        <w:rFonts w:ascii="Courier New" w:hAnsi="Courier New" w:cs="Courier New" w:hint="default"/>
      </w:rPr>
    </w:lvl>
    <w:lvl w:ilvl="5" w:tplc="0C090005" w:tentative="1">
      <w:start w:val="1"/>
      <w:numFmt w:val="bullet"/>
      <w:lvlText w:val=""/>
      <w:lvlJc w:val="left"/>
      <w:pPr>
        <w:ind w:left="4950" w:hanging="360"/>
      </w:pPr>
      <w:rPr>
        <w:rFonts w:ascii="Wingdings" w:hAnsi="Wingdings" w:hint="default"/>
      </w:rPr>
    </w:lvl>
    <w:lvl w:ilvl="6" w:tplc="0C090001" w:tentative="1">
      <w:start w:val="1"/>
      <w:numFmt w:val="bullet"/>
      <w:lvlText w:val=""/>
      <w:lvlJc w:val="left"/>
      <w:pPr>
        <w:ind w:left="5670" w:hanging="360"/>
      </w:pPr>
      <w:rPr>
        <w:rFonts w:ascii="Symbol" w:hAnsi="Symbol" w:hint="default"/>
      </w:rPr>
    </w:lvl>
    <w:lvl w:ilvl="7" w:tplc="0C090003" w:tentative="1">
      <w:start w:val="1"/>
      <w:numFmt w:val="bullet"/>
      <w:lvlText w:val="o"/>
      <w:lvlJc w:val="left"/>
      <w:pPr>
        <w:ind w:left="6390" w:hanging="360"/>
      </w:pPr>
      <w:rPr>
        <w:rFonts w:ascii="Courier New" w:hAnsi="Courier New" w:cs="Courier New" w:hint="default"/>
      </w:rPr>
    </w:lvl>
    <w:lvl w:ilvl="8" w:tplc="0C090005" w:tentative="1">
      <w:start w:val="1"/>
      <w:numFmt w:val="bullet"/>
      <w:lvlText w:val=""/>
      <w:lvlJc w:val="left"/>
      <w:pPr>
        <w:ind w:left="7110" w:hanging="360"/>
      </w:pPr>
      <w:rPr>
        <w:rFonts w:ascii="Wingdings" w:hAnsi="Wingdings" w:hint="default"/>
      </w:rPr>
    </w:lvl>
  </w:abstractNum>
  <w:abstractNum w:abstractNumId="3">
    <w:nsid w:val="1E8E77D2"/>
    <w:multiLevelType w:val="hybridMultilevel"/>
    <w:tmpl w:val="F2E849BA"/>
    <w:lvl w:ilvl="0" w:tplc="5E927F46">
      <w:start w:val="1"/>
      <w:numFmt w:val="bullet"/>
      <w:lvlText w:val="•"/>
      <w:lvlJc w:val="left"/>
      <w:pPr>
        <w:ind w:left="408" w:hanging="187"/>
      </w:pPr>
      <w:rPr>
        <w:rFonts w:ascii="Helvetica Neue Light" w:eastAsia="Helvetica Neue Light" w:hAnsi="Helvetica Neue Light" w:hint="default"/>
        <w:color w:val="414042"/>
        <w:sz w:val="24"/>
        <w:szCs w:val="24"/>
      </w:rPr>
    </w:lvl>
    <w:lvl w:ilvl="1" w:tplc="1EECA4B8">
      <w:start w:val="1"/>
      <w:numFmt w:val="bullet"/>
      <w:lvlText w:val="•"/>
      <w:lvlJc w:val="left"/>
      <w:pPr>
        <w:ind w:left="942" w:hanging="187"/>
      </w:pPr>
      <w:rPr>
        <w:rFonts w:hint="default"/>
      </w:rPr>
    </w:lvl>
    <w:lvl w:ilvl="2" w:tplc="9C46B1FE">
      <w:start w:val="1"/>
      <w:numFmt w:val="bullet"/>
      <w:lvlText w:val="•"/>
      <w:lvlJc w:val="left"/>
      <w:pPr>
        <w:ind w:left="1476" w:hanging="187"/>
      </w:pPr>
      <w:rPr>
        <w:rFonts w:hint="default"/>
      </w:rPr>
    </w:lvl>
    <w:lvl w:ilvl="3" w:tplc="D3CCB4DE">
      <w:start w:val="1"/>
      <w:numFmt w:val="bullet"/>
      <w:lvlText w:val="•"/>
      <w:lvlJc w:val="left"/>
      <w:pPr>
        <w:ind w:left="2010" w:hanging="187"/>
      </w:pPr>
      <w:rPr>
        <w:rFonts w:hint="default"/>
      </w:rPr>
    </w:lvl>
    <w:lvl w:ilvl="4" w:tplc="3DC2B4CE">
      <w:start w:val="1"/>
      <w:numFmt w:val="bullet"/>
      <w:lvlText w:val="•"/>
      <w:lvlJc w:val="left"/>
      <w:pPr>
        <w:ind w:left="2544" w:hanging="187"/>
      </w:pPr>
      <w:rPr>
        <w:rFonts w:hint="default"/>
      </w:rPr>
    </w:lvl>
    <w:lvl w:ilvl="5" w:tplc="B41E7658">
      <w:start w:val="1"/>
      <w:numFmt w:val="bullet"/>
      <w:lvlText w:val="•"/>
      <w:lvlJc w:val="left"/>
      <w:pPr>
        <w:ind w:left="3078" w:hanging="187"/>
      </w:pPr>
      <w:rPr>
        <w:rFonts w:hint="default"/>
      </w:rPr>
    </w:lvl>
    <w:lvl w:ilvl="6" w:tplc="AB84675E">
      <w:start w:val="1"/>
      <w:numFmt w:val="bullet"/>
      <w:lvlText w:val="•"/>
      <w:lvlJc w:val="left"/>
      <w:pPr>
        <w:ind w:left="3611" w:hanging="187"/>
      </w:pPr>
      <w:rPr>
        <w:rFonts w:hint="default"/>
      </w:rPr>
    </w:lvl>
    <w:lvl w:ilvl="7" w:tplc="06D0CB8A">
      <w:start w:val="1"/>
      <w:numFmt w:val="bullet"/>
      <w:lvlText w:val="•"/>
      <w:lvlJc w:val="left"/>
      <w:pPr>
        <w:ind w:left="4145" w:hanging="187"/>
      </w:pPr>
      <w:rPr>
        <w:rFonts w:hint="default"/>
      </w:rPr>
    </w:lvl>
    <w:lvl w:ilvl="8" w:tplc="14BE124C">
      <w:start w:val="1"/>
      <w:numFmt w:val="bullet"/>
      <w:lvlText w:val="•"/>
      <w:lvlJc w:val="left"/>
      <w:pPr>
        <w:ind w:left="4679" w:hanging="187"/>
      </w:pPr>
      <w:rPr>
        <w:rFonts w:hint="default"/>
      </w:rPr>
    </w:lvl>
  </w:abstractNum>
  <w:abstractNum w:abstractNumId="4">
    <w:nsid w:val="2ABE7AE8"/>
    <w:multiLevelType w:val="hybridMultilevel"/>
    <w:tmpl w:val="E856ED08"/>
    <w:lvl w:ilvl="0" w:tplc="0C090001">
      <w:start w:val="1"/>
      <w:numFmt w:val="bullet"/>
      <w:lvlText w:val=""/>
      <w:lvlJc w:val="left"/>
      <w:pPr>
        <w:ind w:left="1350" w:hanging="360"/>
      </w:pPr>
      <w:rPr>
        <w:rFonts w:ascii="Symbol" w:hAnsi="Symbol" w:hint="default"/>
      </w:rPr>
    </w:lvl>
    <w:lvl w:ilvl="1" w:tplc="0C090003" w:tentative="1">
      <w:start w:val="1"/>
      <w:numFmt w:val="bullet"/>
      <w:lvlText w:val="o"/>
      <w:lvlJc w:val="left"/>
      <w:pPr>
        <w:ind w:left="2070" w:hanging="360"/>
      </w:pPr>
      <w:rPr>
        <w:rFonts w:ascii="Courier New" w:hAnsi="Courier New" w:cs="Courier New" w:hint="default"/>
      </w:rPr>
    </w:lvl>
    <w:lvl w:ilvl="2" w:tplc="0C090005" w:tentative="1">
      <w:start w:val="1"/>
      <w:numFmt w:val="bullet"/>
      <w:lvlText w:val=""/>
      <w:lvlJc w:val="left"/>
      <w:pPr>
        <w:ind w:left="2790" w:hanging="360"/>
      </w:pPr>
      <w:rPr>
        <w:rFonts w:ascii="Wingdings" w:hAnsi="Wingdings" w:hint="default"/>
      </w:rPr>
    </w:lvl>
    <w:lvl w:ilvl="3" w:tplc="0C090001" w:tentative="1">
      <w:start w:val="1"/>
      <w:numFmt w:val="bullet"/>
      <w:lvlText w:val=""/>
      <w:lvlJc w:val="left"/>
      <w:pPr>
        <w:ind w:left="3510" w:hanging="360"/>
      </w:pPr>
      <w:rPr>
        <w:rFonts w:ascii="Symbol" w:hAnsi="Symbol" w:hint="default"/>
      </w:rPr>
    </w:lvl>
    <w:lvl w:ilvl="4" w:tplc="0C090003" w:tentative="1">
      <w:start w:val="1"/>
      <w:numFmt w:val="bullet"/>
      <w:lvlText w:val="o"/>
      <w:lvlJc w:val="left"/>
      <w:pPr>
        <w:ind w:left="4230" w:hanging="360"/>
      </w:pPr>
      <w:rPr>
        <w:rFonts w:ascii="Courier New" w:hAnsi="Courier New" w:cs="Courier New" w:hint="default"/>
      </w:rPr>
    </w:lvl>
    <w:lvl w:ilvl="5" w:tplc="0C090005" w:tentative="1">
      <w:start w:val="1"/>
      <w:numFmt w:val="bullet"/>
      <w:lvlText w:val=""/>
      <w:lvlJc w:val="left"/>
      <w:pPr>
        <w:ind w:left="4950" w:hanging="360"/>
      </w:pPr>
      <w:rPr>
        <w:rFonts w:ascii="Wingdings" w:hAnsi="Wingdings" w:hint="default"/>
      </w:rPr>
    </w:lvl>
    <w:lvl w:ilvl="6" w:tplc="0C090001" w:tentative="1">
      <w:start w:val="1"/>
      <w:numFmt w:val="bullet"/>
      <w:lvlText w:val=""/>
      <w:lvlJc w:val="left"/>
      <w:pPr>
        <w:ind w:left="5670" w:hanging="360"/>
      </w:pPr>
      <w:rPr>
        <w:rFonts w:ascii="Symbol" w:hAnsi="Symbol" w:hint="default"/>
      </w:rPr>
    </w:lvl>
    <w:lvl w:ilvl="7" w:tplc="0C090003" w:tentative="1">
      <w:start w:val="1"/>
      <w:numFmt w:val="bullet"/>
      <w:lvlText w:val="o"/>
      <w:lvlJc w:val="left"/>
      <w:pPr>
        <w:ind w:left="6390" w:hanging="360"/>
      </w:pPr>
      <w:rPr>
        <w:rFonts w:ascii="Courier New" w:hAnsi="Courier New" w:cs="Courier New" w:hint="default"/>
      </w:rPr>
    </w:lvl>
    <w:lvl w:ilvl="8" w:tplc="0C090005" w:tentative="1">
      <w:start w:val="1"/>
      <w:numFmt w:val="bullet"/>
      <w:lvlText w:val=""/>
      <w:lvlJc w:val="left"/>
      <w:pPr>
        <w:ind w:left="7110" w:hanging="360"/>
      </w:pPr>
      <w:rPr>
        <w:rFonts w:ascii="Wingdings" w:hAnsi="Wingdings" w:hint="default"/>
      </w:rPr>
    </w:lvl>
  </w:abstractNum>
  <w:abstractNum w:abstractNumId="5">
    <w:nsid w:val="38E30CAF"/>
    <w:multiLevelType w:val="hybridMultilevel"/>
    <w:tmpl w:val="9B8603E6"/>
    <w:lvl w:ilvl="0" w:tplc="29EA82F4">
      <w:numFmt w:val="bullet"/>
      <w:lvlText w:val="•"/>
      <w:lvlJc w:val="left"/>
      <w:pPr>
        <w:ind w:left="1620" w:hanging="360"/>
      </w:pPr>
      <w:rPr>
        <w:rFonts w:ascii="Arial" w:eastAsia="Helvetica Neue Light" w:hAnsi="Arial" w:cs="Arial" w:hint="default"/>
      </w:rPr>
    </w:lvl>
    <w:lvl w:ilvl="1" w:tplc="0C090003" w:tentative="1">
      <w:start w:val="1"/>
      <w:numFmt w:val="bullet"/>
      <w:lvlText w:val="o"/>
      <w:lvlJc w:val="left"/>
      <w:pPr>
        <w:ind w:left="2070" w:hanging="360"/>
      </w:pPr>
      <w:rPr>
        <w:rFonts w:ascii="Courier New" w:hAnsi="Courier New" w:cs="Courier New" w:hint="default"/>
      </w:rPr>
    </w:lvl>
    <w:lvl w:ilvl="2" w:tplc="0C090005" w:tentative="1">
      <w:start w:val="1"/>
      <w:numFmt w:val="bullet"/>
      <w:lvlText w:val=""/>
      <w:lvlJc w:val="left"/>
      <w:pPr>
        <w:ind w:left="2790" w:hanging="360"/>
      </w:pPr>
      <w:rPr>
        <w:rFonts w:ascii="Wingdings" w:hAnsi="Wingdings" w:hint="default"/>
      </w:rPr>
    </w:lvl>
    <w:lvl w:ilvl="3" w:tplc="0C090001" w:tentative="1">
      <w:start w:val="1"/>
      <w:numFmt w:val="bullet"/>
      <w:lvlText w:val=""/>
      <w:lvlJc w:val="left"/>
      <w:pPr>
        <w:ind w:left="3510" w:hanging="360"/>
      </w:pPr>
      <w:rPr>
        <w:rFonts w:ascii="Symbol" w:hAnsi="Symbol" w:hint="default"/>
      </w:rPr>
    </w:lvl>
    <w:lvl w:ilvl="4" w:tplc="0C090003" w:tentative="1">
      <w:start w:val="1"/>
      <w:numFmt w:val="bullet"/>
      <w:lvlText w:val="o"/>
      <w:lvlJc w:val="left"/>
      <w:pPr>
        <w:ind w:left="4230" w:hanging="360"/>
      </w:pPr>
      <w:rPr>
        <w:rFonts w:ascii="Courier New" w:hAnsi="Courier New" w:cs="Courier New" w:hint="default"/>
      </w:rPr>
    </w:lvl>
    <w:lvl w:ilvl="5" w:tplc="0C090005" w:tentative="1">
      <w:start w:val="1"/>
      <w:numFmt w:val="bullet"/>
      <w:lvlText w:val=""/>
      <w:lvlJc w:val="left"/>
      <w:pPr>
        <w:ind w:left="4950" w:hanging="360"/>
      </w:pPr>
      <w:rPr>
        <w:rFonts w:ascii="Wingdings" w:hAnsi="Wingdings" w:hint="default"/>
      </w:rPr>
    </w:lvl>
    <w:lvl w:ilvl="6" w:tplc="0C090001" w:tentative="1">
      <w:start w:val="1"/>
      <w:numFmt w:val="bullet"/>
      <w:lvlText w:val=""/>
      <w:lvlJc w:val="left"/>
      <w:pPr>
        <w:ind w:left="5670" w:hanging="360"/>
      </w:pPr>
      <w:rPr>
        <w:rFonts w:ascii="Symbol" w:hAnsi="Symbol" w:hint="default"/>
      </w:rPr>
    </w:lvl>
    <w:lvl w:ilvl="7" w:tplc="0C090003" w:tentative="1">
      <w:start w:val="1"/>
      <w:numFmt w:val="bullet"/>
      <w:lvlText w:val="o"/>
      <w:lvlJc w:val="left"/>
      <w:pPr>
        <w:ind w:left="6390" w:hanging="360"/>
      </w:pPr>
      <w:rPr>
        <w:rFonts w:ascii="Courier New" w:hAnsi="Courier New" w:cs="Courier New" w:hint="default"/>
      </w:rPr>
    </w:lvl>
    <w:lvl w:ilvl="8" w:tplc="0C090005" w:tentative="1">
      <w:start w:val="1"/>
      <w:numFmt w:val="bullet"/>
      <w:lvlText w:val=""/>
      <w:lvlJc w:val="left"/>
      <w:pPr>
        <w:ind w:left="7110" w:hanging="360"/>
      </w:pPr>
      <w:rPr>
        <w:rFonts w:ascii="Wingdings" w:hAnsi="Wingdings" w:hint="default"/>
      </w:rPr>
    </w:lvl>
  </w:abstractNum>
  <w:abstractNum w:abstractNumId="6">
    <w:nsid w:val="3B920B8F"/>
    <w:multiLevelType w:val="hybridMultilevel"/>
    <w:tmpl w:val="369EA6DA"/>
    <w:lvl w:ilvl="0" w:tplc="29EA82F4">
      <w:numFmt w:val="bullet"/>
      <w:lvlText w:val="•"/>
      <w:lvlJc w:val="left"/>
      <w:pPr>
        <w:ind w:left="990" w:hanging="360"/>
      </w:pPr>
      <w:rPr>
        <w:rFonts w:ascii="Arial" w:eastAsia="Helvetica Neue Light" w:hAnsi="Arial" w:cs="Arial" w:hint="default"/>
      </w:rPr>
    </w:lvl>
    <w:lvl w:ilvl="1" w:tplc="0C090003" w:tentative="1">
      <w:start w:val="1"/>
      <w:numFmt w:val="bullet"/>
      <w:lvlText w:val="o"/>
      <w:lvlJc w:val="left"/>
      <w:pPr>
        <w:ind w:left="1710" w:hanging="360"/>
      </w:pPr>
      <w:rPr>
        <w:rFonts w:ascii="Courier New" w:hAnsi="Courier New" w:cs="Courier New" w:hint="default"/>
      </w:rPr>
    </w:lvl>
    <w:lvl w:ilvl="2" w:tplc="0C090005" w:tentative="1">
      <w:start w:val="1"/>
      <w:numFmt w:val="bullet"/>
      <w:lvlText w:val=""/>
      <w:lvlJc w:val="left"/>
      <w:pPr>
        <w:ind w:left="2430" w:hanging="360"/>
      </w:pPr>
      <w:rPr>
        <w:rFonts w:ascii="Wingdings" w:hAnsi="Wingdings" w:hint="default"/>
      </w:rPr>
    </w:lvl>
    <w:lvl w:ilvl="3" w:tplc="0C090001" w:tentative="1">
      <w:start w:val="1"/>
      <w:numFmt w:val="bullet"/>
      <w:lvlText w:val=""/>
      <w:lvlJc w:val="left"/>
      <w:pPr>
        <w:ind w:left="3150" w:hanging="360"/>
      </w:pPr>
      <w:rPr>
        <w:rFonts w:ascii="Symbol" w:hAnsi="Symbol" w:hint="default"/>
      </w:rPr>
    </w:lvl>
    <w:lvl w:ilvl="4" w:tplc="0C090003" w:tentative="1">
      <w:start w:val="1"/>
      <w:numFmt w:val="bullet"/>
      <w:lvlText w:val="o"/>
      <w:lvlJc w:val="left"/>
      <w:pPr>
        <w:ind w:left="3870" w:hanging="360"/>
      </w:pPr>
      <w:rPr>
        <w:rFonts w:ascii="Courier New" w:hAnsi="Courier New" w:cs="Courier New" w:hint="default"/>
      </w:rPr>
    </w:lvl>
    <w:lvl w:ilvl="5" w:tplc="0C090005" w:tentative="1">
      <w:start w:val="1"/>
      <w:numFmt w:val="bullet"/>
      <w:lvlText w:val=""/>
      <w:lvlJc w:val="left"/>
      <w:pPr>
        <w:ind w:left="4590" w:hanging="360"/>
      </w:pPr>
      <w:rPr>
        <w:rFonts w:ascii="Wingdings" w:hAnsi="Wingdings" w:hint="default"/>
      </w:rPr>
    </w:lvl>
    <w:lvl w:ilvl="6" w:tplc="0C090001" w:tentative="1">
      <w:start w:val="1"/>
      <w:numFmt w:val="bullet"/>
      <w:lvlText w:val=""/>
      <w:lvlJc w:val="left"/>
      <w:pPr>
        <w:ind w:left="5310" w:hanging="360"/>
      </w:pPr>
      <w:rPr>
        <w:rFonts w:ascii="Symbol" w:hAnsi="Symbol" w:hint="default"/>
      </w:rPr>
    </w:lvl>
    <w:lvl w:ilvl="7" w:tplc="0C090003" w:tentative="1">
      <w:start w:val="1"/>
      <w:numFmt w:val="bullet"/>
      <w:lvlText w:val="o"/>
      <w:lvlJc w:val="left"/>
      <w:pPr>
        <w:ind w:left="6030" w:hanging="360"/>
      </w:pPr>
      <w:rPr>
        <w:rFonts w:ascii="Courier New" w:hAnsi="Courier New" w:cs="Courier New" w:hint="default"/>
      </w:rPr>
    </w:lvl>
    <w:lvl w:ilvl="8" w:tplc="0C090005" w:tentative="1">
      <w:start w:val="1"/>
      <w:numFmt w:val="bullet"/>
      <w:lvlText w:val=""/>
      <w:lvlJc w:val="left"/>
      <w:pPr>
        <w:ind w:left="6750" w:hanging="360"/>
      </w:pPr>
      <w:rPr>
        <w:rFonts w:ascii="Wingdings" w:hAnsi="Wingdings" w:hint="default"/>
      </w:rPr>
    </w:lvl>
  </w:abstractNum>
  <w:num w:numId="1">
    <w:abstractNumId w:val="3"/>
  </w:num>
  <w:num w:numId="2">
    <w:abstractNumId w:val="2"/>
  </w:num>
  <w:num w:numId="3">
    <w:abstractNumId w:val="6"/>
  </w:num>
  <w:num w:numId="4">
    <w:abstractNumId w:val="5"/>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AF0"/>
    <w:rsid w:val="000523EC"/>
    <w:rsid w:val="000F5854"/>
    <w:rsid w:val="00116E87"/>
    <w:rsid w:val="00171CB5"/>
    <w:rsid w:val="001D59B0"/>
    <w:rsid w:val="00233E38"/>
    <w:rsid w:val="00246865"/>
    <w:rsid w:val="002D5707"/>
    <w:rsid w:val="002E7C76"/>
    <w:rsid w:val="002F0AF0"/>
    <w:rsid w:val="00353022"/>
    <w:rsid w:val="00354E32"/>
    <w:rsid w:val="00436651"/>
    <w:rsid w:val="00757D6D"/>
    <w:rsid w:val="0079252A"/>
    <w:rsid w:val="007E6ECF"/>
    <w:rsid w:val="008E70C0"/>
    <w:rsid w:val="008F7449"/>
    <w:rsid w:val="00914C32"/>
    <w:rsid w:val="009244AA"/>
    <w:rsid w:val="00AD2DF8"/>
    <w:rsid w:val="00C56459"/>
    <w:rsid w:val="00DE4706"/>
    <w:rsid w:val="00FE0E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rsid w:val="008F7449"/>
    <w:pPr>
      <w:spacing w:before="15"/>
      <w:ind w:left="630"/>
      <w:outlineLvl w:val="0"/>
    </w:pPr>
    <w:rPr>
      <w:rFonts w:ascii="Arial" w:hAnsi="Arial" w:cs="Arial"/>
      <w:color w:val="157193"/>
      <w:sz w:val="42"/>
      <w:szCs w:val="42"/>
    </w:rPr>
  </w:style>
  <w:style w:type="paragraph" w:styleId="Heading2">
    <w:name w:val="heading 2"/>
    <w:basedOn w:val="Heading1"/>
    <w:uiPriority w:val="1"/>
    <w:qFormat/>
    <w:rsid w:val="008E70C0"/>
    <w:pPr>
      <w:outlineLvl w:val="1"/>
    </w:pPr>
    <w:rPr>
      <w:b/>
      <w:color w:val="auto"/>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0523EC"/>
    <w:pPr>
      <w:spacing w:before="185" w:line="248" w:lineRule="auto"/>
      <w:ind w:left="630" w:right="525"/>
    </w:pPr>
    <w:rPr>
      <w:rFonts w:ascii="Arial" w:eastAsia="Helvetica Neue Light" w:hAnsi="Arial" w:cs="Arial"/>
      <w:color w:val="000000" w:themeColor="text1"/>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244AA"/>
    <w:pPr>
      <w:tabs>
        <w:tab w:val="center" w:pos="4513"/>
        <w:tab w:val="right" w:pos="9026"/>
      </w:tabs>
    </w:pPr>
  </w:style>
  <w:style w:type="character" w:customStyle="1" w:styleId="HeaderChar">
    <w:name w:val="Header Char"/>
    <w:basedOn w:val="DefaultParagraphFont"/>
    <w:link w:val="Header"/>
    <w:uiPriority w:val="99"/>
    <w:rsid w:val="009244AA"/>
  </w:style>
  <w:style w:type="paragraph" w:styleId="Footer">
    <w:name w:val="footer"/>
    <w:basedOn w:val="Normal"/>
    <w:link w:val="FooterChar"/>
    <w:uiPriority w:val="99"/>
    <w:unhideWhenUsed/>
    <w:rsid w:val="009244AA"/>
    <w:pPr>
      <w:tabs>
        <w:tab w:val="center" w:pos="4513"/>
        <w:tab w:val="right" w:pos="9026"/>
      </w:tabs>
    </w:pPr>
  </w:style>
  <w:style w:type="character" w:customStyle="1" w:styleId="FooterChar">
    <w:name w:val="Footer Char"/>
    <w:basedOn w:val="DefaultParagraphFont"/>
    <w:link w:val="Footer"/>
    <w:uiPriority w:val="99"/>
    <w:rsid w:val="009244AA"/>
  </w:style>
  <w:style w:type="paragraph" w:styleId="BalloonText">
    <w:name w:val="Balloon Text"/>
    <w:basedOn w:val="Normal"/>
    <w:link w:val="BalloonTextChar"/>
    <w:uiPriority w:val="99"/>
    <w:semiHidden/>
    <w:unhideWhenUsed/>
    <w:rsid w:val="00C56459"/>
    <w:rPr>
      <w:rFonts w:ascii="Tahoma" w:hAnsi="Tahoma" w:cs="Tahoma"/>
      <w:sz w:val="16"/>
      <w:szCs w:val="16"/>
    </w:rPr>
  </w:style>
  <w:style w:type="character" w:customStyle="1" w:styleId="BalloonTextChar">
    <w:name w:val="Balloon Text Char"/>
    <w:basedOn w:val="DefaultParagraphFont"/>
    <w:link w:val="BalloonText"/>
    <w:uiPriority w:val="99"/>
    <w:semiHidden/>
    <w:rsid w:val="00C56459"/>
    <w:rPr>
      <w:rFonts w:ascii="Tahoma" w:hAnsi="Tahoma" w:cs="Tahoma"/>
      <w:sz w:val="16"/>
      <w:szCs w:val="16"/>
    </w:rPr>
  </w:style>
  <w:style w:type="character" w:styleId="Hyperlink">
    <w:name w:val="Hyperlink"/>
    <w:basedOn w:val="DefaultParagraphFont"/>
    <w:uiPriority w:val="99"/>
    <w:unhideWhenUsed/>
    <w:rsid w:val="00757D6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rsid w:val="008F7449"/>
    <w:pPr>
      <w:spacing w:before="15"/>
      <w:ind w:left="630"/>
      <w:outlineLvl w:val="0"/>
    </w:pPr>
    <w:rPr>
      <w:rFonts w:ascii="Arial" w:hAnsi="Arial" w:cs="Arial"/>
      <w:color w:val="157193"/>
      <w:sz w:val="42"/>
      <w:szCs w:val="42"/>
    </w:rPr>
  </w:style>
  <w:style w:type="paragraph" w:styleId="Heading2">
    <w:name w:val="heading 2"/>
    <w:basedOn w:val="Heading1"/>
    <w:uiPriority w:val="1"/>
    <w:qFormat/>
    <w:rsid w:val="008E70C0"/>
    <w:pPr>
      <w:outlineLvl w:val="1"/>
    </w:pPr>
    <w:rPr>
      <w:b/>
      <w:color w:val="auto"/>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0523EC"/>
    <w:pPr>
      <w:spacing w:before="185" w:line="248" w:lineRule="auto"/>
      <w:ind w:left="630" w:right="525"/>
    </w:pPr>
    <w:rPr>
      <w:rFonts w:ascii="Arial" w:eastAsia="Helvetica Neue Light" w:hAnsi="Arial" w:cs="Arial"/>
      <w:color w:val="000000" w:themeColor="text1"/>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244AA"/>
    <w:pPr>
      <w:tabs>
        <w:tab w:val="center" w:pos="4513"/>
        <w:tab w:val="right" w:pos="9026"/>
      </w:tabs>
    </w:pPr>
  </w:style>
  <w:style w:type="character" w:customStyle="1" w:styleId="HeaderChar">
    <w:name w:val="Header Char"/>
    <w:basedOn w:val="DefaultParagraphFont"/>
    <w:link w:val="Header"/>
    <w:uiPriority w:val="99"/>
    <w:rsid w:val="009244AA"/>
  </w:style>
  <w:style w:type="paragraph" w:styleId="Footer">
    <w:name w:val="footer"/>
    <w:basedOn w:val="Normal"/>
    <w:link w:val="FooterChar"/>
    <w:uiPriority w:val="99"/>
    <w:unhideWhenUsed/>
    <w:rsid w:val="009244AA"/>
    <w:pPr>
      <w:tabs>
        <w:tab w:val="center" w:pos="4513"/>
        <w:tab w:val="right" w:pos="9026"/>
      </w:tabs>
    </w:pPr>
  </w:style>
  <w:style w:type="character" w:customStyle="1" w:styleId="FooterChar">
    <w:name w:val="Footer Char"/>
    <w:basedOn w:val="DefaultParagraphFont"/>
    <w:link w:val="Footer"/>
    <w:uiPriority w:val="99"/>
    <w:rsid w:val="009244AA"/>
  </w:style>
  <w:style w:type="paragraph" w:styleId="BalloonText">
    <w:name w:val="Balloon Text"/>
    <w:basedOn w:val="Normal"/>
    <w:link w:val="BalloonTextChar"/>
    <w:uiPriority w:val="99"/>
    <w:semiHidden/>
    <w:unhideWhenUsed/>
    <w:rsid w:val="00C56459"/>
    <w:rPr>
      <w:rFonts w:ascii="Tahoma" w:hAnsi="Tahoma" w:cs="Tahoma"/>
      <w:sz w:val="16"/>
      <w:szCs w:val="16"/>
    </w:rPr>
  </w:style>
  <w:style w:type="character" w:customStyle="1" w:styleId="BalloonTextChar">
    <w:name w:val="Balloon Text Char"/>
    <w:basedOn w:val="DefaultParagraphFont"/>
    <w:link w:val="BalloonText"/>
    <w:uiPriority w:val="99"/>
    <w:semiHidden/>
    <w:rsid w:val="00C56459"/>
    <w:rPr>
      <w:rFonts w:ascii="Tahoma" w:hAnsi="Tahoma" w:cs="Tahoma"/>
      <w:sz w:val="16"/>
      <w:szCs w:val="16"/>
    </w:rPr>
  </w:style>
  <w:style w:type="character" w:styleId="Hyperlink">
    <w:name w:val="Hyperlink"/>
    <w:basedOn w:val="DefaultParagraphFont"/>
    <w:uiPriority w:val="99"/>
    <w:unhideWhenUsed/>
    <w:rsid w:val="00757D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michael.carroll@dsc.wa.gov.a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HamidhS\Desktop\CAP.xlsx"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976957634896864"/>
          <c:y val="4.5074025940932141E-2"/>
          <c:w val="0.74657504468383173"/>
          <c:h val="0.57067018614892928"/>
        </c:manualLayout>
      </c:layout>
      <c:barChart>
        <c:barDir val="bar"/>
        <c:grouping val="percentStacked"/>
        <c:varyColors val="0"/>
        <c:ser>
          <c:idx val="0"/>
          <c:order val="0"/>
          <c:tx>
            <c:strRef>
              <c:f>Sheet1!$B$3</c:f>
              <c:strCache>
                <c:ptCount val="1"/>
                <c:pt idx="0">
                  <c:v>Accomodation Support</c:v>
                </c:pt>
              </c:strCache>
            </c:strRef>
          </c:tx>
          <c:spPr>
            <a:solidFill>
              <a:schemeClr val="accent1"/>
            </a:solidFill>
            <a:ln>
              <a:solidFill>
                <a:schemeClr val="tx1"/>
              </a:solidFill>
            </a:ln>
            <a:effectLst/>
          </c:spPr>
          <c:invertIfNegative val="0"/>
          <c:dLbls>
            <c:dLbl>
              <c:idx val="0"/>
              <c:layout>
                <c:manualLayout>
                  <c:x val="-1.4045054184177898E-2"/>
                  <c:y val="-8.4361705366875539E-2"/>
                </c:manualLayout>
              </c:layout>
              <c:dLblPos val="ctr"/>
              <c:showLegendKey val="0"/>
              <c:showVal val="1"/>
              <c:showCatName val="0"/>
              <c:showSerName val="0"/>
              <c:showPercent val="0"/>
              <c:showBubbleSize val="0"/>
            </c:dLbl>
            <c:dLbl>
              <c:idx val="1"/>
              <c:layout>
                <c:manualLayout>
                  <c:x val="1.1730190167946799E-2"/>
                  <c:y val="-8.4361705366875539E-2"/>
                </c:manualLayout>
              </c:layout>
              <c:dLblPos val="ctr"/>
              <c:showLegendKey val="0"/>
              <c:showVal val="1"/>
              <c:showCatName val="0"/>
              <c:showSerName val="0"/>
              <c:showPercent val="0"/>
              <c:showBubbleSize val="0"/>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(Sheet1!$D$2,Sheet1!$F$2)</c:f>
              <c:strCache>
                <c:ptCount val="2"/>
                <c:pt idx="0">
                  <c:v>Proportion of
people</c:v>
                </c:pt>
                <c:pt idx="1">
                  <c:v>Proportion of
funding allocated</c:v>
                </c:pt>
              </c:strCache>
              <c:extLst>
                <c:ext xmlns:c15="http://schemas.microsoft.com/office/drawing/2012/chart" uri="{02D57815-91ED-43cb-92C2-25804820EDAC}">
                  <c15:fullRef>
                    <c15:sqref>Sheet1!$C$2:$F$2</c15:sqref>
                  </c15:fullRef>
                </c:ext>
              </c:extLst>
            </c:strRef>
          </c:cat>
          <c:val>
            <c:numRef>
              <c:f>(Sheet1!$D$3,Sheet1!$F$3)</c:f>
              <c:numCache>
                <c:formatCode>0.0%</c:formatCode>
                <c:ptCount val="2"/>
                <c:pt idx="0">
                  <c:v>3.1869078380706288E-2</c:v>
                </c:pt>
                <c:pt idx="1">
                  <c:v>0.40671641791044777</c:v>
                </c:pt>
              </c:numCache>
              <c:extLst>
                <c:ext xmlns:c15="http://schemas.microsoft.com/office/drawing/2012/chart" uri="{02D57815-91ED-43cb-92C2-25804820EDAC}">
                  <c15:fullRef>
                    <c15:sqref>Sheet1!$C$3:$F$3</c15:sqref>
                  </c15:fullRef>
                </c:ext>
              </c:extLst>
            </c:numRef>
          </c:val>
        </c:ser>
        <c:ser>
          <c:idx val="1"/>
          <c:order val="1"/>
          <c:tx>
            <c:strRef>
              <c:f>Sheet1!$B$4</c:f>
              <c:strCache>
                <c:ptCount val="1"/>
                <c:pt idx="0">
                  <c:v>Intensive Family Support</c:v>
                </c:pt>
              </c:strCache>
            </c:strRef>
          </c:tx>
          <c:spPr>
            <a:solidFill>
              <a:schemeClr val="accent1">
                <a:lumMod val="60000"/>
                <a:lumOff val="40000"/>
              </a:schemeClr>
            </a:solidFill>
            <a:ln>
              <a:solidFill>
                <a:sysClr val="windowText" lastClr="000000"/>
              </a:solidFill>
            </a:ln>
            <a:effectLst/>
          </c:spPr>
          <c:invertIfNegative val="0"/>
          <c:dLbls>
            <c:dLbl>
              <c:idx val="0"/>
              <c:layout>
                <c:manualLayout>
                  <c:x val="-9.4053427370658423E-4"/>
                  <c:y val="-0.12211386569718229"/>
                </c:manualLayout>
              </c:layout>
              <c:dLblPos val="ctr"/>
              <c:showLegendKey val="0"/>
              <c:showVal val="1"/>
              <c:showCatName val="0"/>
              <c:showSerName val="0"/>
              <c:showPercent val="0"/>
              <c:showBubbleSize val="0"/>
              <c:extLst>
                <c:ext xmlns:c15="http://schemas.microsoft.com/office/drawing/2012/chart" uri="{CE6537A1-D6FC-4f65-9D91-7224C49458BB}"/>
              </c:extLst>
            </c:dLbl>
            <c:dLbl>
              <c:idx val="1"/>
              <c:layout>
                <c:manualLayout>
                  <c:x val="-2.3148640162311E-3"/>
                  <c:y val="-0.11839109438466364"/>
                </c:manualLayout>
              </c:layout>
              <c:dLblPos val="ctr"/>
              <c:showLegendKey val="0"/>
              <c:showVal val="1"/>
              <c:showCatName val="0"/>
              <c:showSerName val="0"/>
              <c:showPercent val="0"/>
              <c:showBubbleSize val="0"/>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(Sheet1!$D$2,Sheet1!$F$2)</c:f>
              <c:strCache>
                <c:ptCount val="2"/>
                <c:pt idx="0">
                  <c:v>Proportion of
people</c:v>
                </c:pt>
                <c:pt idx="1">
                  <c:v>Proportion of
funding allocated</c:v>
                </c:pt>
              </c:strCache>
              <c:extLst>
                <c:ext xmlns:c15="http://schemas.microsoft.com/office/drawing/2012/chart" uri="{02D57815-91ED-43cb-92C2-25804820EDAC}">
                  <c15:fullRef>
                    <c15:sqref>Sheet1!$C$2:$F$2</c15:sqref>
                  </c15:fullRef>
                </c:ext>
              </c:extLst>
            </c:strRef>
          </c:cat>
          <c:val>
            <c:numRef>
              <c:f>(Sheet1!$D$4,Sheet1!$F$4)</c:f>
              <c:numCache>
                <c:formatCode>0.0%</c:formatCode>
                <c:ptCount val="2"/>
                <c:pt idx="0">
                  <c:v>3.1869078380706288E-2</c:v>
                </c:pt>
                <c:pt idx="1">
                  <c:v>0.14925373134328357</c:v>
                </c:pt>
              </c:numCache>
              <c:extLst>
                <c:ext xmlns:c15="http://schemas.microsoft.com/office/drawing/2012/chart" uri="{02D57815-91ED-43cb-92C2-25804820EDAC}">
                  <c15:fullRef>
                    <c15:sqref>Sheet1!$C$4:$F$4</c15:sqref>
                  </c15:fullRef>
                </c:ext>
              </c:extLst>
            </c:numRef>
          </c:val>
        </c:ser>
        <c:ser>
          <c:idx val="2"/>
          <c:order val="2"/>
          <c:tx>
            <c:strRef>
              <c:f>Sheet1!$B$5</c:f>
              <c:strCache>
                <c:ptCount val="1"/>
                <c:pt idx="0">
                  <c:v>Alternatives to Employment</c:v>
                </c:pt>
              </c:strCache>
            </c:strRef>
          </c:tx>
          <c:spPr>
            <a:solidFill>
              <a:schemeClr val="accent1">
                <a:lumMod val="20000"/>
                <a:lumOff val="80000"/>
              </a:schemeClr>
            </a:solidFill>
            <a:ln>
              <a:solidFill>
                <a:sysClr val="windowText" lastClr="000000"/>
              </a:solidFill>
            </a:ln>
            <a:effectLst/>
          </c:spPr>
          <c:invertIfNegative val="0"/>
          <c:dLbls>
            <c:dLbl>
              <c:idx val="0"/>
              <c:layout>
                <c:manualLayout>
                  <c:x val="1.319453166513695E-2"/>
                  <c:y val="-8.7749298159075825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1"/>
              <c:layout>
                <c:manualLayout>
                  <c:x val="-3.9100684261973865E-3"/>
                  <c:y val="-7.7763589410478604E-2"/>
                </c:manualLayout>
              </c:layout>
              <c:dLblPos val="ctr"/>
              <c:showLegendKey val="0"/>
              <c:showVal val="1"/>
              <c:showCatName val="0"/>
              <c:showSerName val="0"/>
              <c:showPercent val="0"/>
              <c:showBubbleSize val="0"/>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(Sheet1!$D$2,Sheet1!$F$2)</c:f>
              <c:strCache>
                <c:ptCount val="2"/>
                <c:pt idx="0">
                  <c:v>Proportion of
people</c:v>
                </c:pt>
                <c:pt idx="1">
                  <c:v>Proportion of
funding allocated</c:v>
                </c:pt>
              </c:strCache>
              <c:extLst>
                <c:ext xmlns:c15="http://schemas.microsoft.com/office/drawing/2012/chart" uri="{02D57815-91ED-43cb-92C2-25804820EDAC}">
                  <c15:fullRef>
                    <c15:sqref>Sheet1!$C$2:$F$2</c15:sqref>
                  </c15:fullRef>
                </c:ext>
              </c:extLst>
            </c:strRef>
          </c:cat>
          <c:val>
            <c:numRef>
              <c:f>(Sheet1!$D$5,Sheet1!$F$5)</c:f>
              <c:numCache>
                <c:formatCode>0.0%</c:formatCode>
                <c:ptCount val="2"/>
                <c:pt idx="0">
                  <c:v>2.3255813953488372E-2</c:v>
                </c:pt>
                <c:pt idx="1">
                  <c:v>5.2238805970149252E-2</c:v>
                </c:pt>
              </c:numCache>
              <c:extLst>
                <c:ext xmlns:c15="http://schemas.microsoft.com/office/drawing/2012/chart" uri="{02D57815-91ED-43cb-92C2-25804820EDAC}">
                  <c15:fullRef>
                    <c15:sqref>Sheet1!$C$5:$F$5</c15:sqref>
                  </c15:fullRef>
                </c:ext>
              </c:extLst>
            </c:numRef>
          </c:val>
        </c:ser>
        <c:ser>
          <c:idx val="3"/>
          <c:order val="3"/>
          <c:tx>
            <c:strRef>
              <c:f>Sheet1!$B$6</c:f>
              <c:strCache>
                <c:ptCount val="1"/>
                <c:pt idx="0">
                  <c:v>Community and Family Living</c:v>
                </c:pt>
              </c:strCache>
            </c:strRef>
          </c:tx>
          <c:spPr>
            <a:solidFill>
              <a:schemeClr val="accent6"/>
            </a:solidFill>
            <a:ln>
              <a:solidFill>
                <a:sysClr val="windowText" lastClr="000000"/>
              </a:solidFill>
            </a:ln>
            <a:effectLst/>
          </c:spPr>
          <c:invertIfNegative val="0"/>
          <c:dLbls>
            <c:dLbl>
              <c:idx val="0"/>
              <c:layout>
                <c:manualLayout>
                  <c:x val="1.7775147738434537E-2"/>
                  <c:y val="-0.12407353953145649"/>
                </c:manualLayout>
              </c:layout>
              <c:dLblPos val="ctr"/>
              <c:showLegendKey val="0"/>
              <c:showVal val="1"/>
              <c:showCatName val="0"/>
              <c:showSerName val="0"/>
              <c:showPercent val="0"/>
              <c:showBubbleSize val="0"/>
            </c:dLbl>
            <c:dLbl>
              <c:idx val="1"/>
              <c:layout>
                <c:manualLayout>
                  <c:x val="5.9551068386390349E-3"/>
                  <c:y val="-0.12097995871165756"/>
                </c:manualLayout>
              </c:layout>
              <c:dLblPos val="ctr"/>
              <c:showLegendKey val="0"/>
              <c:showVal val="1"/>
              <c:showCatName val="0"/>
              <c:showSerName val="0"/>
              <c:showPercent val="0"/>
              <c:showBubbleSize val="0"/>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(Sheet1!$D$2,Sheet1!$F$2)</c:f>
              <c:strCache>
                <c:ptCount val="2"/>
                <c:pt idx="0">
                  <c:v>Proportion of
people</c:v>
                </c:pt>
                <c:pt idx="1">
                  <c:v>Proportion of
funding allocated</c:v>
                </c:pt>
              </c:strCache>
              <c:extLst>
                <c:ext xmlns:c15="http://schemas.microsoft.com/office/drawing/2012/chart" uri="{02D57815-91ED-43cb-92C2-25804820EDAC}">
                  <c15:fullRef>
                    <c15:sqref>Sheet1!$C$2:$F$2</c15:sqref>
                  </c15:fullRef>
                </c:ext>
              </c:extLst>
            </c:strRef>
          </c:cat>
          <c:val>
            <c:numRef>
              <c:f>(Sheet1!$D$6,Sheet1!$F$6)</c:f>
              <c:numCache>
                <c:formatCode>0.0%</c:formatCode>
                <c:ptCount val="2"/>
                <c:pt idx="0">
                  <c:v>7.407407407407407E-2</c:v>
                </c:pt>
                <c:pt idx="1">
                  <c:v>4.8507462686567165E-2</c:v>
                </c:pt>
              </c:numCache>
              <c:extLst>
                <c:ext xmlns:c15="http://schemas.microsoft.com/office/drawing/2012/chart" uri="{02D57815-91ED-43cb-92C2-25804820EDAC}">
                  <c15:fullRef>
                    <c15:sqref>Sheet1!$C$6:$F$6</c15:sqref>
                  </c15:fullRef>
                </c:ext>
              </c:extLst>
            </c:numRef>
          </c:val>
        </c:ser>
        <c:ser>
          <c:idx val="4"/>
          <c:order val="4"/>
          <c:tx>
            <c:strRef>
              <c:f>Sheet1!$B$7</c:f>
              <c:strCache>
                <c:ptCount val="1"/>
                <c:pt idx="0">
                  <c:v>Local Area Resource</c:v>
                </c:pt>
              </c:strCache>
            </c:strRef>
          </c:tx>
          <c:spPr>
            <a:solidFill>
              <a:srgbClr val="FFC000"/>
            </a:solidFill>
            <a:ln>
              <a:solidFill>
                <a:schemeClr val="tx1"/>
              </a:solidFill>
            </a:ln>
            <a:effectLst/>
          </c:spPr>
          <c:invertIfNegative val="0"/>
          <c:dLbls>
            <c:dLbl>
              <c:idx val="0"/>
              <c:layout>
                <c:manualLayout>
                  <c:x val="7.9100848590245229E-3"/>
                  <c:y val="-9.364244782627229E-2"/>
                </c:manualLayout>
              </c:layout>
              <c:dLblPos val="ctr"/>
              <c:showLegendKey val="0"/>
              <c:showVal val="1"/>
              <c:showCatName val="0"/>
              <c:showSerName val="0"/>
              <c:showPercent val="0"/>
              <c:showBubbleSize val="0"/>
            </c:dLbl>
            <c:dLbl>
              <c:idx val="1"/>
              <c:layout>
                <c:manualLayout>
                  <c:x val="7.8201368523949169E-3"/>
                  <c:y val="-7.7763589410478604E-2"/>
                </c:manualLayout>
              </c:layout>
              <c:dLblPos val="ctr"/>
              <c:showLegendKey val="0"/>
              <c:showVal val="1"/>
              <c:showCatName val="0"/>
              <c:showSerName val="0"/>
              <c:showPercent val="0"/>
              <c:showBubbleSize val="0"/>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(Sheet1!$D$2,Sheet1!$F$2)</c:f>
              <c:strCache>
                <c:ptCount val="2"/>
                <c:pt idx="0">
                  <c:v>Proportion of
people</c:v>
                </c:pt>
                <c:pt idx="1">
                  <c:v>Proportion of
funding allocated</c:v>
                </c:pt>
              </c:strCache>
              <c:extLst>
                <c:ext xmlns:c15="http://schemas.microsoft.com/office/drawing/2012/chart" uri="{02D57815-91ED-43cb-92C2-25804820EDAC}">
                  <c15:fullRef>
                    <c15:sqref>Sheet1!$C$2:$F$2</c15:sqref>
                  </c15:fullRef>
                </c:ext>
              </c:extLst>
            </c:strRef>
          </c:cat>
          <c:val>
            <c:numRef>
              <c:f>(Sheet1!$D$7,Sheet1!$F$7)</c:f>
              <c:numCache>
                <c:formatCode>0.0%</c:formatCode>
                <c:ptCount val="2"/>
                <c:pt idx="0">
                  <c:v>0.53789836347975883</c:v>
                </c:pt>
                <c:pt idx="1">
                  <c:v>6.3432835820895525E-2</c:v>
                </c:pt>
              </c:numCache>
              <c:extLst>
                <c:ext xmlns:c15="http://schemas.microsoft.com/office/drawing/2012/chart" uri="{02D57815-91ED-43cb-92C2-25804820EDAC}">
                  <c15:fullRef>
                    <c15:sqref>Sheet1!$C$7:$F$7</c15:sqref>
                  </c15:fullRef>
                </c:ext>
              </c:extLst>
            </c:numRef>
          </c:val>
        </c:ser>
        <c:ser>
          <c:idx val="5"/>
          <c:order val="5"/>
          <c:tx>
            <c:strRef>
              <c:f>Sheet1!$B$8</c:f>
              <c:strCache>
                <c:ptCount val="1"/>
                <c:pt idx="0">
                  <c:v>My Way Resource</c:v>
                </c:pt>
              </c:strCache>
            </c:strRef>
          </c:tx>
          <c:spPr>
            <a:solidFill>
              <a:schemeClr val="accent3"/>
            </a:solidFill>
            <a:ln>
              <a:solidFill>
                <a:schemeClr val="tx1"/>
              </a:solidFill>
            </a:ln>
            <a:effectLst/>
          </c:spPr>
          <c:invertIfNegative val="0"/>
          <c:dLbls>
            <c:dLbl>
              <c:idx val="0"/>
              <c:layout>
                <c:manualLayout>
                  <c:x val="-5.8650950839733993E-3"/>
                  <c:y val="-9.0548867006473382E-2"/>
                </c:manualLayout>
              </c:layout>
              <c:dLblPos val="ctr"/>
              <c:showLegendKey val="0"/>
              <c:showVal val="1"/>
              <c:showCatName val="0"/>
              <c:showSerName val="0"/>
              <c:showPercent val="0"/>
              <c:showBubbleSize val="0"/>
            </c:dLbl>
            <c:dLbl>
              <c:idx val="1"/>
              <c:layout>
                <c:manualLayout>
                  <c:x val="2.1505402315508109E-2"/>
                  <c:y val="-0.11270864923787079"/>
                </c:manualLayout>
              </c:layout>
              <c:dLblPos val="ctr"/>
              <c:showLegendKey val="0"/>
              <c:showVal val="1"/>
              <c:showCatName val="0"/>
              <c:showSerName val="0"/>
              <c:showPercent val="0"/>
              <c:showBubbleSize val="0"/>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(Sheet1!$D$2,Sheet1!$F$2)</c:f>
              <c:strCache>
                <c:ptCount val="2"/>
                <c:pt idx="0">
                  <c:v>Proportion of
people</c:v>
                </c:pt>
                <c:pt idx="1">
                  <c:v>Proportion of
funding allocated</c:v>
                </c:pt>
              </c:strCache>
              <c:extLst>
                <c:ext xmlns:c15="http://schemas.microsoft.com/office/drawing/2012/chart" uri="{02D57815-91ED-43cb-92C2-25804820EDAC}">
                  <c15:fullRef>
                    <c15:sqref>Sheet1!$C$2:$F$2</c15:sqref>
                  </c15:fullRef>
                </c:ext>
              </c:extLst>
            </c:strRef>
          </c:cat>
          <c:val>
            <c:numRef>
              <c:f>(Sheet1!$D$8,Sheet1!$F$8)</c:f>
              <c:numCache>
                <c:formatCode>0.0%</c:formatCode>
                <c:ptCount val="2"/>
                <c:pt idx="0">
                  <c:v>0.18604651162790697</c:v>
                </c:pt>
                <c:pt idx="1">
                  <c:v>2.9850746268656716E-2</c:v>
                </c:pt>
              </c:numCache>
              <c:extLst>
                <c:ext xmlns:c15="http://schemas.microsoft.com/office/drawing/2012/chart" uri="{02D57815-91ED-43cb-92C2-25804820EDAC}">
                  <c15:fullRef>
                    <c15:sqref>Sheet1!$C$8:$F$8</c15:sqref>
                  </c15:fullRef>
                </c:ext>
              </c:extLst>
            </c:numRef>
          </c:val>
        </c:ser>
        <c:ser>
          <c:idx val="6"/>
          <c:order val="6"/>
          <c:tx>
            <c:strRef>
              <c:f>Sheet1!$B$9</c:f>
              <c:strCache>
                <c:ptCount val="1"/>
                <c:pt idx="0">
                  <c:v>School Leavers Support</c:v>
                </c:pt>
              </c:strCache>
            </c:strRef>
          </c:tx>
          <c:spPr>
            <a:solidFill>
              <a:schemeClr val="accent3">
                <a:lumMod val="40000"/>
                <a:lumOff val="60000"/>
              </a:schemeClr>
            </a:solidFill>
            <a:ln>
              <a:solidFill>
                <a:schemeClr val="tx1"/>
              </a:solidFill>
            </a:ln>
            <a:effectLst/>
          </c:spPr>
          <c:invertIfNegative val="0"/>
          <c:dLbls>
            <c:dLbl>
              <c:idx val="0"/>
              <c:layout>
                <c:manualLayout>
                  <c:x val="-1.9549780203854884E-3"/>
                  <c:y val="-9.3866062565845163E-2"/>
                </c:manualLayout>
              </c:layout>
              <c:dLblPos val="ctr"/>
              <c:showLegendKey val="0"/>
              <c:showVal val="1"/>
              <c:showCatName val="0"/>
              <c:showSerName val="0"/>
              <c:showPercent val="0"/>
              <c:showBubbleSize val="0"/>
            </c:dLbl>
            <c:dLbl>
              <c:idx val="1"/>
              <c:layout>
                <c:manualLayout>
                  <c:x val="8.1799591002044997E-3"/>
                  <c:y val="-8.1772597450840687E-2"/>
                </c:manualLayout>
              </c:layout>
              <c:dLblPos val="ctr"/>
              <c:showLegendKey val="0"/>
              <c:showVal val="1"/>
              <c:showCatName val="0"/>
              <c:showSerName val="0"/>
              <c:showPercent val="0"/>
              <c:showBubbleSize val="0"/>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(Sheet1!$D$2,Sheet1!$F$2)</c:f>
              <c:strCache>
                <c:ptCount val="2"/>
                <c:pt idx="0">
                  <c:v>Proportion of
people</c:v>
                </c:pt>
                <c:pt idx="1">
                  <c:v>Proportion of
funding allocated</c:v>
                </c:pt>
              </c:strCache>
              <c:extLst>
                <c:ext xmlns:c15="http://schemas.microsoft.com/office/drawing/2012/chart" uri="{02D57815-91ED-43cb-92C2-25804820EDAC}">
                  <c15:fullRef>
                    <c15:sqref>Sheet1!$C$2:$F$2</c15:sqref>
                  </c15:fullRef>
                </c:ext>
              </c:extLst>
            </c:strRef>
          </c:cat>
          <c:val>
            <c:numRef>
              <c:f>(Sheet1!$D$9,Sheet1!$F$9)</c:f>
              <c:numCache>
                <c:formatCode>0.0%</c:formatCode>
                <c:ptCount val="2"/>
                <c:pt idx="0">
                  <c:v>0.11498708010335917</c:v>
                </c:pt>
                <c:pt idx="1">
                  <c:v>0.25</c:v>
                </c:pt>
              </c:numCache>
              <c:extLst>
                <c:ext xmlns:c15="http://schemas.microsoft.com/office/drawing/2012/chart" uri="{02D57815-91ED-43cb-92C2-25804820EDAC}">
                  <c15:fullRef>
                    <c15:sqref>Sheet1!$C$9:$F$9</c15:sqref>
                  </c15:fullRef>
                </c:ext>
              </c:extLst>
            </c:numRef>
          </c:val>
        </c:ser>
        <c:dLbls>
          <c:showLegendKey val="0"/>
          <c:showVal val="0"/>
          <c:showCatName val="0"/>
          <c:showSerName val="0"/>
          <c:showPercent val="0"/>
          <c:showBubbleSize val="0"/>
        </c:dLbls>
        <c:gapWidth val="150"/>
        <c:overlap val="100"/>
        <c:axId val="83106432"/>
        <c:axId val="83128704"/>
      </c:barChart>
      <c:catAx>
        <c:axId val="83106432"/>
        <c:scaling>
          <c:orientation val="minMax"/>
        </c:scaling>
        <c:delete val="0"/>
        <c:axPos val="l"/>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83128704"/>
        <c:crosses val="autoZero"/>
        <c:auto val="1"/>
        <c:lblAlgn val="ctr"/>
        <c:lblOffset val="100"/>
        <c:noMultiLvlLbl val="0"/>
      </c:catAx>
      <c:valAx>
        <c:axId val="83128704"/>
        <c:scaling>
          <c:orientation val="minMax"/>
        </c:scaling>
        <c:delete val="0"/>
        <c:axPos val="b"/>
        <c:majorGridlines>
          <c:spPr>
            <a:ln w="9525" cap="flat" cmpd="sng" algn="ctr">
              <a:noFill/>
              <a:round/>
            </a:ln>
            <a:effectLst/>
          </c:spPr>
        </c:majorGridlines>
        <c:numFmt formatCode="0%" sourceLinked="1"/>
        <c:majorTickMark val="out"/>
        <c:minorTickMark val="none"/>
        <c:tickLblPos val="nextTo"/>
        <c:spPr>
          <a:noFill/>
          <a:ln>
            <a:solidFill>
              <a:sysClr val="windowText" lastClr="000000"/>
            </a:solid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83106432"/>
        <c:crosses val="autoZero"/>
        <c:crossBetween val="between"/>
      </c:valAx>
    </c:plotArea>
    <c:legend>
      <c:legendPos val="b"/>
      <c:layout>
        <c:manualLayout>
          <c:xMode val="edge"/>
          <c:yMode val="edge"/>
          <c:x val="0.11044265361257995"/>
          <c:y val="0.73082221033050476"/>
          <c:w val="0.80507924046151125"/>
          <c:h val="0.25278062979946536"/>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legend>
    <c:plotVisOnly val="1"/>
    <c:dispBlanksAs val="gap"/>
    <c:showDLblsOverMax val="0"/>
  </c:chart>
  <c:spPr>
    <a:solidFill>
      <a:schemeClr val="bg1"/>
    </a:solidFill>
    <a:ln w="9525" cap="flat" cmpd="sng" algn="ctr">
      <a:solidFill>
        <a:schemeClr val="tx1">
          <a:lumMod val="50000"/>
          <a:lumOff val="50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3"/>
          <c:order val="0"/>
          <c:tx>
            <c:strRef>
              <c:f>'[1314 CAP Combined data set amended.xlsx]Sheet1'!$F$27</c:f>
              <c:strCache>
                <c:ptCount val="1"/>
                <c:pt idx="0">
                  <c:v>Accomodation Support</c:v>
                </c:pt>
              </c:strCache>
            </c:strRef>
          </c:tx>
          <c:spPr>
            <a:solidFill>
              <a:schemeClr val="accent4"/>
            </a:solidFill>
            <a:ln>
              <a:solidFill>
                <a:sysClr val="windowText" lastClr="000000"/>
              </a:solidFill>
            </a:ln>
            <a:effectLst/>
          </c:spPr>
          <c:invertIfNegative val="0"/>
          <c:cat>
            <c:strRef>
              <c:f>'[1314 CAP Combined data set amended.xlsx]Sheet1'!$B$28:$B$34</c:f>
              <c:strCache>
                <c:ptCount val="7"/>
                <c:pt idx="0">
                  <c:v>0-9</c:v>
                </c:pt>
                <c:pt idx="1">
                  <c:v>10-19</c:v>
                </c:pt>
                <c:pt idx="2">
                  <c:v>20-29</c:v>
                </c:pt>
                <c:pt idx="3">
                  <c:v>30-39</c:v>
                </c:pt>
                <c:pt idx="4">
                  <c:v>40-49</c:v>
                </c:pt>
                <c:pt idx="5">
                  <c:v>50-59</c:v>
                </c:pt>
                <c:pt idx="6">
                  <c:v>60+</c:v>
                </c:pt>
              </c:strCache>
            </c:strRef>
          </c:cat>
          <c:val>
            <c:numRef>
              <c:f>'[1314 CAP Combined data set amended.xlsx]Sheet1'!$F$28:$F$34</c:f>
              <c:numCache>
                <c:formatCode>0.0%</c:formatCode>
                <c:ptCount val="7"/>
                <c:pt idx="0">
                  <c:v>0</c:v>
                </c:pt>
                <c:pt idx="1">
                  <c:v>0.47297297297297297</c:v>
                </c:pt>
                <c:pt idx="2">
                  <c:v>0.17567567567567569</c:v>
                </c:pt>
                <c:pt idx="3">
                  <c:v>8.1081081081081086E-2</c:v>
                </c:pt>
                <c:pt idx="4">
                  <c:v>0.12162162162162163</c:v>
                </c:pt>
                <c:pt idx="5">
                  <c:v>0.12162162162162163</c:v>
                </c:pt>
                <c:pt idx="6">
                  <c:v>2.7027027027027029E-2</c:v>
                </c:pt>
              </c:numCache>
            </c:numRef>
          </c:val>
        </c:ser>
        <c:ser>
          <c:idx val="4"/>
          <c:order val="1"/>
          <c:tx>
            <c:strRef>
              <c:f>'[1314 CAP Combined data set amended.xlsx]Sheet1'!$G$27</c:f>
              <c:strCache>
                <c:ptCount val="1"/>
                <c:pt idx="0">
                  <c:v>Intensive Family Support</c:v>
                </c:pt>
              </c:strCache>
            </c:strRef>
          </c:tx>
          <c:spPr>
            <a:solidFill>
              <a:schemeClr val="accent5"/>
            </a:solidFill>
            <a:ln>
              <a:solidFill>
                <a:sysClr val="windowText" lastClr="000000"/>
              </a:solidFill>
            </a:ln>
            <a:effectLst/>
          </c:spPr>
          <c:invertIfNegative val="0"/>
          <c:cat>
            <c:strRef>
              <c:f>'[1314 CAP Combined data set amended.xlsx]Sheet1'!$B$28:$B$34</c:f>
              <c:strCache>
                <c:ptCount val="7"/>
                <c:pt idx="0">
                  <c:v>0-9</c:v>
                </c:pt>
                <c:pt idx="1">
                  <c:v>10-19</c:v>
                </c:pt>
                <c:pt idx="2">
                  <c:v>20-29</c:v>
                </c:pt>
                <c:pt idx="3">
                  <c:v>30-39</c:v>
                </c:pt>
                <c:pt idx="4">
                  <c:v>40-49</c:v>
                </c:pt>
                <c:pt idx="5">
                  <c:v>50-59</c:v>
                </c:pt>
                <c:pt idx="6">
                  <c:v>60+</c:v>
                </c:pt>
              </c:strCache>
            </c:strRef>
          </c:cat>
          <c:val>
            <c:numRef>
              <c:f>'[1314 CAP Combined data set amended.xlsx]Sheet1'!$G$28:$G$34</c:f>
              <c:numCache>
                <c:formatCode>0.0%</c:formatCode>
                <c:ptCount val="7"/>
                <c:pt idx="0">
                  <c:v>0.27027027027027029</c:v>
                </c:pt>
                <c:pt idx="1">
                  <c:v>0.51351351351351349</c:v>
                </c:pt>
                <c:pt idx="2">
                  <c:v>0.10810810810810811</c:v>
                </c:pt>
                <c:pt idx="3">
                  <c:v>2.7027027027027029E-2</c:v>
                </c:pt>
                <c:pt idx="4">
                  <c:v>4.0540540540540543E-2</c:v>
                </c:pt>
                <c:pt idx="5">
                  <c:v>1.3513513513513514E-2</c:v>
                </c:pt>
                <c:pt idx="6">
                  <c:v>2.7027027027027029E-2</c:v>
                </c:pt>
              </c:numCache>
            </c:numRef>
          </c:val>
        </c:ser>
        <c:ser>
          <c:idx val="5"/>
          <c:order val="2"/>
          <c:tx>
            <c:strRef>
              <c:f>'[1314 CAP Combined data set amended.xlsx]Sheet1'!$H$27</c:f>
              <c:strCache>
                <c:ptCount val="1"/>
                <c:pt idx="0">
                  <c:v>Alternatives to Employment</c:v>
                </c:pt>
              </c:strCache>
            </c:strRef>
          </c:tx>
          <c:spPr>
            <a:solidFill>
              <a:schemeClr val="accent6"/>
            </a:solidFill>
            <a:ln>
              <a:solidFill>
                <a:sysClr val="windowText" lastClr="000000"/>
              </a:solidFill>
            </a:ln>
            <a:effectLst/>
          </c:spPr>
          <c:invertIfNegative val="0"/>
          <c:cat>
            <c:strRef>
              <c:f>'[1314 CAP Combined data set amended.xlsx]Sheet1'!$B$28:$B$34</c:f>
              <c:strCache>
                <c:ptCount val="7"/>
                <c:pt idx="0">
                  <c:v>0-9</c:v>
                </c:pt>
                <c:pt idx="1">
                  <c:v>10-19</c:v>
                </c:pt>
                <c:pt idx="2">
                  <c:v>20-29</c:v>
                </c:pt>
                <c:pt idx="3">
                  <c:v>30-39</c:v>
                </c:pt>
                <c:pt idx="4">
                  <c:v>40-49</c:v>
                </c:pt>
                <c:pt idx="5">
                  <c:v>50-59</c:v>
                </c:pt>
                <c:pt idx="6">
                  <c:v>60+</c:v>
                </c:pt>
              </c:strCache>
            </c:strRef>
          </c:cat>
          <c:val>
            <c:numRef>
              <c:f>'[1314 CAP Combined data set amended.xlsx]Sheet1'!$H$28:$H$34</c:f>
              <c:numCache>
                <c:formatCode>0.0%</c:formatCode>
                <c:ptCount val="7"/>
                <c:pt idx="0">
                  <c:v>0</c:v>
                </c:pt>
                <c:pt idx="1">
                  <c:v>0</c:v>
                </c:pt>
                <c:pt idx="2">
                  <c:v>0.12962962962962962</c:v>
                </c:pt>
                <c:pt idx="3">
                  <c:v>0.24074074074074073</c:v>
                </c:pt>
                <c:pt idx="4">
                  <c:v>0.29629629629629628</c:v>
                </c:pt>
                <c:pt idx="5">
                  <c:v>0.27777777777777779</c:v>
                </c:pt>
                <c:pt idx="6">
                  <c:v>5.5555555555555552E-2</c:v>
                </c:pt>
              </c:numCache>
            </c:numRef>
          </c:val>
        </c:ser>
        <c:dLbls>
          <c:showLegendKey val="0"/>
          <c:showVal val="0"/>
          <c:showCatName val="0"/>
          <c:showSerName val="0"/>
          <c:showPercent val="0"/>
          <c:showBubbleSize val="0"/>
        </c:dLbls>
        <c:gapWidth val="219"/>
        <c:overlap val="-27"/>
        <c:axId val="83301888"/>
        <c:axId val="83303808"/>
        <c:extLst>
          <c:ext xmlns:c15="http://schemas.microsoft.com/office/drawing/2012/chart" uri="{02D57815-91ED-43cb-92C2-25804820EDAC}">
            <c15:filteredBarSeries>
              <c15:ser>
                <c:idx val="0"/>
                <c:order val="0"/>
                <c:tx>
                  <c:strRef>
                    <c:extLst>
                      <c:ext uri="{02D57815-91ED-43cb-92C2-25804820EDAC}">
                        <c15:formulaRef>
                          <c15:sqref>'[1314 CAP Combined data set amended.xlsx]Sheet1'!$C$27</c15:sqref>
                        </c15:formulaRef>
                      </c:ext>
                    </c:extLst>
                    <c:strCache>
                      <c:ptCount val="1"/>
                      <c:pt idx="0">
                        <c:v>ASF Numbers</c:v>
                      </c:pt>
                    </c:strCache>
                  </c:strRef>
                </c:tx>
                <c:spPr>
                  <a:solidFill>
                    <a:schemeClr val="accent1"/>
                  </a:solidFill>
                  <a:ln>
                    <a:noFill/>
                  </a:ln>
                  <a:effectLst/>
                </c:spPr>
                <c:invertIfNegative val="0"/>
                <c:cat>
                  <c:strRef>
                    <c:extLst>
                      <c:ext uri="{02D57815-91ED-43cb-92C2-25804820EDAC}">
                        <c15:formulaRef>
                          <c15:sqref>'[1314 CAP Combined data set amended.xlsx]Sheet1'!$B$28:$B$34</c15:sqref>
                        </c15:formulaRef>
                      </c:ext>
                    </c:extLst>
                    <c:strCache>
                      <c:ptCount val="7"/>
                      <c:pt idx="0">
                        <c:v>0-9</c:v>
                      </c:pt>
                      <c:pt idx="1">
                        <c:v>10-19</c:v>
                      </c:pt>
                      <c:pt idx="2">
                        <c:v>20-29</c:v>
                      </c:pt>
                      <c:pt idx="3">
                        <c:v>30-39</c:v>
                      </c:pt>
                      <c:pt idx="4">
                        <c:v>40-49</c:v>
                      </c:pt>
                      <c:pt idx="5">
                        <c:v>50-59</c:v>
                      </c:pt>
                      <c:pt idx="6">
                        <c:v>60+</c:v>
                      </c:pt>
                    </c:strCache>
                  </c:strRef>
                </c:cat>
                <c:val>
                  <c:numRef>
                    <c:extLst>
                      <c:ext uri="{02D57815-91ED-43cb-92C2-25804820EDAC}">
                        <c15:formulaRef>
                          <c15:sqref>'[1314 CAP Combined data set amended.xlsx]Sheet1'!$C$28:$C$34</c15:sqref>
                        </c15:formulaRef>
                      </c:ext>
                    </c:extLst>
                    <c:numCache>
                      <c:formatCode>General</c:formatCode>
                      <c:ptCount val="7"/>
                      <c:pt idx="0">
                        <c:v>0</c:v>
                      </c:pt>
                      <c:pt idx="1">
                        <c:v>35</c:v>
                      </c:pt>
                      <c:pt idx="2">
                        <c:v>13</c:v>
                      </c:pt>
                      <c:pt idx="3">
                        <c:v>6</c:v>
                      </c:pt>
                      <c:pt idx="4">
                        <c:v>9</c:v>
                      </c:pt>
                      <c:pt idx="5">
                        <c:v>9</c:v>
                      </c:pt>
                      <c:pt idx="6">
                        <c:v>2</c:v>
                      </c:pt>
                    </c:numCache>
                  </c:numRef>
                </c:val>
              </c15:ser>
            </c15:filteredBarSeries>
            <c15:filteredBarSeries>
              <c15:ser>
                <c:idx val="1"/>
                <c:order val="1"/>
                <c:tx>
                  <c:strRef>
                    <c:extLst>
                      <c:ext xmlns:c15="http://schemas.microsoft.com/office/drawing/2012/chart" uri="{02D57815-91ED-43cb-92C2-25804820EDAC}">
                        <c15:formulaRef>
                          <c15:sqref>'[1314 CAP Combined data set amended.xlsx]Sheet1'!$D$27</c15:sqref>
                        </c15:formulaRef>
                      </c:ext>
                    </c:extLst>
                    <c:strCache>
                      <c:ptCount val="1"/>
                      <c:pt idx="0">
                        <c:v>IFS Numbers</c:v>
                      </c:pt>
                    </c:strCache>
                  </c:strRef>
                </c:tx>
                <c:spPr>
                  <a:solidFill>
                    <a:schemeClr val="accent2"/>
                  </a:solidFill>
                  <a:ln>
                    <a:noFill/>
                  </a:ln>
                  <a:effectLst/>
                </c:spPr>
                <c:invertIfNegative val="0"/>
                <c:cat>
                  <c:strRef>
                    <c:extLst>
                      <c:ext xmlns:c15="http://schemas.microsoft.com/office/drawing/2012/chart" uri="{02D57815-91ED-43cb-92C2-25804820EDAC}">
                        <c15:formulaRef>
                          <c15:sqref>'[1314 CAP Combined data set amended.xlsx]Sheet1'!$B$28:$B$34</c15:sqref>
                        </c15:formulaRef>
                      </c:ext>
                    </c:extLst>
                    <c:strCache>
                      <c:ptCount val="7"/>
                      <c:pt idx="0">
                        <c:v>0-9</c:v>
                      </c:pt>
                      <c:pt idx="1">
                        <c:v>10-19</c:v>
                      </c:pt>
                      <c:pt idx="2">
                        <c:v>20-29</c:v>
                      </c:pt>
                      <c:pt idx="3">
                        <c:v>30-39</c:v>
                      </c:pt>
                      <c:pt idx="4">
                        <c:v>40-49</c:v>
                      </c:pt>
                      <c:pt idx="5">
                        <c:v>50-59</c:v>
                      </c:pt>
                      <c:pt idx="6">
                        <c:v>60+</c:v>
                      </c:pt>
                    </c:strCache>
                  </c:strRef>
                </c:cat>
                <c:val>
                  <c:numRef>
                    <c:extLst>
                      <c:ext xmlns:c15="http://schemas.microsoft.com/office/drawing/2012/chart" uri="{02D57815-91ED-43cb-92C2-25804820EDAC}">
                        <c15:formulaRef>
                          <c15:sqref>'[1314 CAP Combined data set amended.xlsx]Sheet1'!$D$28:$D$34</c15:sqref>
                        </c15:formulaRef>
                      </c:ext>
                    </c:extLst>
                    <c:numCache>
                      <c:formatCode>General</c:formatCode>
                      <c:ptCount val="7"/>
                      <c:pt idx="0">
                        <c:v>20</c:v>
                      </c:pt>
                      <c:pt idx="1">
                        <c:v>38</c:v>
                      </c:pt>
                      <c:pt idx="2">
                        <c:v>8</c:v>
                      </c:pt>
                      <c:pt idx="3">
                        <c:v>2</c:v>
                      </c:pt>
                      <c:pt idx="4">
                        <c:v>3</c:v>
                      </c:pt>
                      <c:pt idx="5">
                        <c:v>1</c:v>
                      </c:pt>
                      <c:pt idx="6">
                        <c:v>2</c:v>
                      </c:pt>
                    </c:numCache>
                  </c:numRef>
                </c:val>
              </c15:ser>
            </c15:filteredBarSeries>
            <c15:filteredBarSeries>
              <c15:ser>
                <c:idx val="2"/>
                <c:order val="2"/>
                <c:tx>
                  <c:strRef>
                    <c:extLst>
                      <c:ext xmlns:c15="http://schemas.microsoft.com/office/drawing/2012/chart" uri="{02D57815-91ED-43cb-92C2-25804820EDAC}">
                        <c15:formulaRef>
                          <c15:sqref>'[1314 CAP Combined data set amended.xlsx]Sheet1'!$E$27</c15:sqref>
                        </c15:formulaRef>
                      </c:ext>
                    </c:extLst>
                    <c:strCache>
                      <c:ptCount val="1"/>
                      <c:pt idx="0">
                        <c:v>ATE Numbers</c:v>
                      </c:pt>
                    </c:strCache>
                  </c:strRef>
                </c:tx>
                <c:spPr>
                  <a:solidFill>
                    <a:schemeClr val="accent3"/>
                  </a:solidFill>
                  <a:ln>
                    <a:noFill/>
                  </a:ln>
                  <a:effectLst/>
                </c:spPr>
                <c:invertIfNegative val="0"/>
                <c:cat>
                  <c:strRef>
                    <c:extLst>
                      <c:ext xmlns:c15="http://schemas.microsoft.com/office/drawing/2012/chart" uri="{02D57815-91ED-43cb-92C2-25804820EDAC}">
                        <c15:formulaRef>
                          <c15:sqref>'[1314 CAP Combined data set amended.xlsx]Sheet1'!$B$28:$B$34</c15:sqref>
                        </c15:formulaRef>
                      </c:ext>
                    </c:extLst>
                    <c:strCache>
                      <c:ptCount val="7"/>
                      <c:pt idx="0">
                        <c:v>0-9</c:v>
                      </c:pt>
                      <c:pt idx="1">
                        <c:v>10-19</c:v>
                      </c:pt>
                      <c:pt idx="2">
                        <c:v>20-29</c:v>
                      </c:pt>
                      <c:pt idx="3">
                        <c:v>30-39</c:v>
                      </c:pt>
                      <c:pt idx="4">
                        <c:v>40-49</c:v>
                      </c:pt>
                      <c:pt idx="5">
                        <c:v>50-59</c:v>
                      </c:pt>
                      <c:pt idx="6">
                        <c:v>60+</c:v>
                      </c:pt>
                    </c:strCache>
                  </c:strRef>
                </c:cat>
                <c:val>
                  <c:numRef>
                    <c:extLst>
                      <c:ext xmlns:c15="http://schemas.microsoft.com/office/drawing/2012/chart" uri="{02D57815-91ED-43cb-92C2-25804820EDAC}">
                        <c15:formulaRef>
                          <c15:sqref>'[1314 CAP Combined data set amended.xlsx]Sheet1'!$E$28:$E$34</c15:sqref>
                        </c15:formulaRef>
                      </c:ext>
                    </c:extLst>
                    <c:numCache>
                      <c:formatCode>General</c:formatCode>
                      <c:ptCount val="7"/>
                      <c:pt idx="0">
                        <c:v>0</c:v>
                      </c:pt>
                      <c:pt idx="1">
                        <c:v>0</c:v>
                      </c:pt>
                      <c:pt idx="2">
                        <c:v>7</c:v>
                      </c:pt>
                      <c:pt idx="3">
                        <c:v>13</c:v>
                      </c:pt>
                      <c:pt idx="4">
                        <c:v>16</c:v>
                      </c:pt>
                      <c:pt idx="5">
                        <c:v>15</c:v>
                      </c:pt>
                      <c:pt idx="6">
                        <c:v>3</c:v>
                      </c:pt>
                    </c:numCache>
                  </c:numRef>
                </c:val>
              </c15:ser>
            </c15:filteredBarSeries>
          </c:ext>
        </c:extLst>
      </c:barChart>
      <c:catAx>
        <c:axId val="83301888"/>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sz="1200" b="1">
                    <a:solidFill>
                      <a:sysClr val="windowText" lastClr="000000"/>
                    </a:solidFill>
                    <a:latin typeface="Arial" panose="020B0604020202020204" pitchFamily="34" charset="0"/>
                    <a:cs typeface="Arial" panose="020B0604020202020204" pitchFamily="34" charset="0"/>
                  </a:rPr>
                  <a:t>Age groups</a:t>
                </a:r>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83303808"/>
        <c:crosses val="autoZero"/>
        <c:auto val="1"/>
        <c:lblAlgn val="ctr"/>
        <c:lblOffset val="100"/>
        <c:noMultiLvlLbl val="0"/>
      </c:catAx>
      <c:valAx>
        <c:axId val="8330380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2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83301888"/>
        <c:crosses val="autoZero"/>
        <c:crossBetween val="between"/>
      </c:valAx>
    </c:plotArea>
    <c:legend>
      <c:legendPos val="b"/>
      <c:legendEntry>
        <c:idx val="0"/>
        <c:txPr>
          <a:bodyPr rot="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7.6390066626287135E-3"/>
          <c:y val="0.85440619192673906"/>
          <c:w val="0.96489303452453057"/>
          <c:h val="0.14484679837225195"/>
        </c:manualLayout>
      </c:layout>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legend>
    <c:plotVisOnly val="1"/>
    <c:dispBlanksAs val="gap"/>
    <c:showDLblsOverMax val="0"/>
  </c:chart>
  <c:spPr>
    <a:solidFill>
      <a:schemeClr val="bg1"/>
    </a:solidFill>
    <a:ln w="12700" cap="flat" cmpd="sng" algn="ctr">
      <a:solidFill>
        <a:schemeClr val="accent1">
          <a:lumMod val="50000"/>
        </a:schemeClr>
      </a:solidFill>
      <a:round/>
    </a:ln>
    <a:effectLst/>
  </c:spPr>
  <c:txPr>
    <a:bodyPr/>
    <a:lstStyle/>
    <a:p>
      <a:pPr>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8167844404064877"/>
          <c:y val="3.6943744752308987E-2"/>
          <c:w val="0.578241469816273"/>
          <c:h val="0.88923593618807728"/>
        </c:manualLayout>
      </c:layout>
      <c:barChart>
        <c:barDir val="bar"/>
        <c:grouping val="clustered"/>
        <c:varyColors val="0"/>
        <c:ser>
          <c:idx val="0"/>
          <c:order val="0"/>
          <c:tx>
            <c:strRef>
              <c:f>[Book1]Sheet1!$E$4</c:f>
              <c:strCache>
                <c:ptCount val="1"/>
                <c:pt idx="0">
                  <c:v>Proportion of funding allocation</c:v>
                </c:pt>
              </c:strCache>
            </c:strRef>
          </c:tx>
          <c:spPr>
            <a:solidFill>
              <a:srgbClr val="0070C0"/>
            </a:solidFill>
            <a:ln w="6350">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[Book1]Sheet1!$C$5:$C$15</c:f>
              <c:strCache>
                <c:ptCount val="11"/>
                <c:pt idx="0">
                  <c:v>Community Aids and Equipments</c:v>
                </c:pt>
                <c:pt idx="1">
                  <c:v>Disability Justice Centres</c:v>
                </c:pt>
                <c:pt idx="2">
                  <c:v>Local Area Coordination</c:v>
                </c:pt>
                <c:pt idx="3">
                  <c:v>Aged Carer </c:v>
                </c:pt>
                <c:pt idx="4">
                  <c:v>Community Living Initiative</c:v>
                </c:pt>
                <c:pt idx="5">
                  <c:v>Family Living Initiative</c:v>
                </c:pt>
                <c:pt idx="6">
                  <c:v>Alternatives to Employment</c:v>
                </c:pt>
                <c:pt idx="7">
                  <c:v>Disability Professional Services</c:v>
                </c:pt>
                <c:pt idx="8">
                  <c:v>Supported Community Living</c:v>
                </c:pt>
                <c:pt idx="9">
                  <c:v>School Leavers Support</c:v>
                </c:pt>
                <c:pt idx="10">
                  <c:v>Accomodation Support</c:v>
                </c:pt>
              </c:strCache>
            </c:strRef>
          </c:cat>
          <c:val>
            <c:numRef>
              <c:f>[Book1]Sheet1!$E$5:$E$15</c:f>
              <c:numCache>
                <c:formatCode>0.0%</c:formatCode>
                <c:ptCount val="11"/>
                <c:pt idx="0">
                  <c:v>9.0972708187543744E-3</c:v>
                </c:pt>
                <c:pt idx="1">
                  <c:v>1.6661668166216802E-2</c:v>
                </c:pt>
                <c:pt idx="2">
                  <c:v>3.3323336332433603E-2</c:v>
                </c:pt>
                <c:pt idx="3">
                  <c:v>3.8362058049251892E-2</c:v>
                </c:pt>
                <c:pt idx="4">
                  <c:v>4.1654170415542001E-2</c:v>
                </c:pt>
                <c:pt idx="5">
                  <c:v>4.1654170415542001E-2</c:v>
                </c:pt>
                <c:pt idx="6">
                  <c:v>4.1654170415542001E-2</c:v>
                </c:pt>
                <c:pt idx="7">
                  <c:v>0.10106967909627113</c:v>
                </c:pt>
                <c:pt idx="8">
                  <c:v>0.12996101169649105</c:v>
                </c:pt>
                <c:pt idx="9">
                  <c:v>0.23665543670232264</c:v>
                </c:pt>
                <c:pt idx="10">
                  <c:v>0.30990702789163249</c:v>
                </c:pt>
              </c:numCache>
            </c:numRef>
          </c:val>
        </c:ser>
        <c:dLbls>
          <c:dLblPos val="outEnd"/>
          <c:showLegendKey val="0"/>
          <c:showVal val="1"/>
          <c:showCatName val="0"/>
          <c:showSerName val="0"/>
          <c:showPercent val="0"/>
          <c:showBubbleSize val="0"/>
        </c:dLbls>
        <c:gapWidth val="150"/>
        <c:axId val="83350272"/>
        <c:axId val="83335040"/>
      </c:barChart>
      <c:valAx>
        <c:axId val="83335040"/>
        <c:scaling>
          <c:orientation val="minMax"/>
        </c:scaling>
        <c:delete val="0"/>
        <c:axPos val="b"/>
        <c:majorGridlines>
          <c:spPr>
            <a:ln w="9525" cap="flat" cmpd="sng" algn="ctr">
              <a:noFill/>
              <a:round/>
            </a:ln>
            <a:effectLst/>
          </c:spPr>
        </c:majorGridlines>
        <c:numFmt formatCode="0%" sourceLinked="0"/>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83350272"/>
        <c:crosses val="autoZero"/>
        <c:crossBetween val="between"/>
      </c:valAx>
      <c:catAx>
        <c:axId val="83350272"/>
        <c:scaling>
          <c:orientation val="minMax"/>
        </c:scaling>
        <c:delete val="0"/>
        <c:axPos val="l"/>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83335040"/>
        <c:crossesAt val="0"/>
        <c:auto val="1"/>
        <c:lblAlgn val="ctr"/>
        <c:lblOffset val="100"/>
        <c:noMultiLvlLbl val="0"/>
      </c:catAx>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0</TotalTime>
  <Pages>7</Pages>
  <Words>1595</Words>
  <Characters>9097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DSC</Company>
  <LinksUpToDate>false</LinksUpToDate>
  <CharactersWithSpaces>10671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 Everitt</dc:creator>
  <cp:lastModifiedBy>Wendy Post</cp:lastModifiedBy>
  <cp:revision>2</cp:revision>
  <dcterms:created xsi:type="dcterms:W3CDTF">2015-03-17T06:30:00Z</dcterms:created>
  <dcterms:modified xsi:type="dcterms:W3CDTF">2015-03-17T06:30:00Z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2015-02-09T00:00:00Z</vt:filetime>
  </property>
  <property fmtid="{D5CDD505-2E9C-101B-9397-08002B2CF9AE}" pid="3" name="LastSaved">
    <vt:filetime>2015-02-09T00:00:00Z</vt:filetime>
  </property>
</Properties>
</file>