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0238" w:rsidRPr="00443C3C" w:rsidRDefault="00230238" w:rsidP="00443C3C">
      <w:pPr>
        <w:pStyle w:val="Body1"/>
        <w:rPr>
          <w:rFonts w:ascii="Arial" w:hAnsi="Arial" w:cs="Arial"/>
          <w:color w:val="auto"/>
          <w:szCs w:val="24"/>
        </w:rPr>
      </w:pPr>
      <w:bookmarkStart w:id="0" w:name="_GoBack"/>
      <w:bookmarkEnd w:id="0"/>
    </w:p>
    <w:p w:rsidR="00230238" w:rsidRPr="00443C3C" w:rsidRDefault="00230238" w:rsidP="00443C3C">
      <w:pPr>
        <w:pStyle w:val="Body1"/>
        <w:rPr>
          <w:rFonts w:ascii="Arial" w:hAnsi="Arial" w:cs="Arial"/>
          <w:color w:val="auto"/>
          <w:szCs w:val="24"/>
        </w:rPr>
      </w:pPr>
      <w:r w:rsidRPr="00443C3C">
        <w:rPr>
          <w:rFonts w:ascii="Arial" w:hAnsi="Arial" w:cs="Arial"/>
          <w:color w:val="auto"/>
          <w:szCs w:val="24"/>
        </w:rPr>
        <w:t>The State Government allocates funding to support people with disability, their families and carers. The Disability Services Commission (the Commission) operates a number of funding programs that allocate funding to individuals based on a fair and equitable assessment of need. This funding is used to purchase a wide range of supports and services.</w:t>
      </w:r>
      <w:r w:rsidR="00083E5C" w:rsidRPr="00083E5C">
        <w:rPr>
          <w:rFonts w:ascii="Arial" w:hAnsi="Arial" w:cs="Arial"/>
          <w:color w:val="auto"/>
          <w:szCs w:val="24"/>
        </w:rPr>
        <w:t xml:space="preserve"> </w:t>
      </w:r>
      <w:r w:rsidR="00083E5C" w:rsidRPr="00443C3C">
        <w:rPr>
          <w:rFonts w:ascii="Arial" w:hAnsi="Arial" w:cs="Arial"/>
          <w:color w:val="auto"/>
          <w:szCs w:val="24"/>
        </w:rPr>
        <w:t>Funding for disability services has increased at an average of 14</w:t>
      </w:r>
      <w:r w:rsidR="00083E5C">
        <w:rPr>
          <w:rFonts w:ascii="Arial" w:hAnsi="Arial" w:cs="Arial"/>
          <w:color w:val="auto"/>
          <w:szCs w:val="24"/>
        </w:rPr>
        <w:t xml:space="preserve"> per cent</w:t>
      </w:r>
      <w:r w:rsidR="00083E5C" w:rsidRPr="00443C3C">
        <w:rPr>
          <w:rFonts w:ascii="Arial" w:hAnsi="Arial" w:cs="Arial"/>
          <w:color w:val="auto"/>
          <w:szCs w:val="24"/>
        </w:rPr>
        <w:t xml:space="preserve"> per annum in the last six years (including indexation).</w:t>
      </w:r>
    </w:p>
    <w:p w:rsidR="00230238" w:rsidRPr="00443C3C" w:rsidRDefault="00230238" w:rsidP="00443C3C">
      <w:pPr>
        <w:pStyle w:val="Body1"/>
        <w:rPr>
          <w:rFonts w:ascii="Arial" w:hAnsi="Arial" w:cs="Arial"/>
          <w:color w:val="auto"/>
          <w:szCs w:val="24"/>
        </w:rPr>
      </w:pPr>
    </w:p>
    <w:p w:rsidR="00736C8D" w:rsidRDefault="00A514D3" w:rsidP="00443C3C">
      <w:pPr>
        <w:pStyle w:val="Body1"/>
        <w:rPr>
          <w:rFonts w:ascii="Arial" w:hAnsi="Arial" w:cs="Arial"/>
          <w:color w:val="auto"/>
          <w:szCs w:val="24"/>
        </w:rPr>
      </w:pPr>
      <w:r>
        <w:rPr>
          <w:rFonts w:ascii="Arial" w:hAnsi="Arial" w:cs="Arial"/>
          <w:color w:val="auto"/>
          <w:szCs w:val="24"/>
        </w:rPr>
        <w:t xml:space="preserve">This bulletin provides information on funding for </w:t>
      </w:r>
      <w:r w:rsidR="00083E5C">
        <w:rPr>
          <w:rFonts w:ascii="Arial" w:hAnsi="Arial" w:cs="Arial"/>
          <w:color w:val="auto"/>
          <w:szCs w:val="24"/>
        </w:rPr>
        <w:t>new services</w:t>
      </w:r>
      <w:r w:rsidR="001540FC">
        <w:rPr>
          <w:rFonts w:ascii="Arial" w:hAnsi="Arial" w:cs="Arial"/>
          <w:color w:val="auto"/>
          <w:szCs w:val="24"/>
        </w:rPr>
        <w:t xml:space="preserve"> and new individuals</w:t>
      </w:r>
      <w:r w:rsidR="00083E5C">
        <w:rPr>
          <w:rFonts w:ascii="Arial" w:hAnsi="Arial" w:cs="Arial"/>
          <w:color w:val="auto"/>
          <w:szCs w:val="24"/>
        </w:rPr>
        <w:t xml:space="preserve"> in addition to the </w:t>
      </w:r>
      <w:r w:rsidR="001540FC">
        <w:rPr>
          <w:rFonts w:ascii="Arial" w:hAnsi="Arial" w:cs="Arial"/>
          <w:color w:val="auto"/>
          <w:szCs w:val="24"/>
        </w:rPr>
        <w:t xml:space="preserve">Commission’s </w:t>
      </w:r>
      <w:r w:rsidR="001540FC" w:rsidRPr="00795102">
        <w:rPr>
          <w:rFonts w:ascii="Arial" w:hAnsi="Arial" w:cs="Arial"/>
          <w:color w:val="auto"/>
          <w:szCs w:val="24"/>
        </w:rPr>
        <w:t xml:space="preserve">existing </w:t>
      </w:r>
      <w:r w:rsidR="00083E5C">
        <w:rPr>
          <w:rFonts w:ascii="Arial" w:hAnsi="Arial" w:cs="Arial"/>
          <w:color w:val="auto"/>
          <w:szCs w:val="24"/>
        </w:rPr>
        <w:t>expenditure on</w:t>
      </w:r>
      <w:r w:rsidR="001540FC">
        <w:rPr>
          <w:rFonts w:ascii="Arial" w:hAnsi="Arial" w:cs="Arial"/>
          <w:color w:val="auto"/>
          <w:szCs w:val="24"/>
        </w:rPr>
        <w:t xml:space="preserve"> </w:t>
      </w:r>
      <w:r w:rsidR="001540FC" w:rsidRPr="00795102">
        <w:rPr>
          <w:rFonts w:ascii="Arial" w:hAnsi="Arial" w:cs="Arial"/>
          <w:color w:val="auto"/>
          <w:szCs w:val="24"/>
        </w:rPr>
        <w:t>23,412</w:t>
      </w:r>
      <w:r w:rsidR="001540FC">
        <w:rPr>
          <w:rFonts w:ascii="Arial" w:hAnsi="Arial" w:cs="Arial"/>
          <w:color w:val="auto"/>
          <w:szCs w:val="24"/>
        </w:rPr>
        <w:t xml:space="preserve"> people with disability</w:t>
      </w:r>
      <w:r w:rsidR="00083E5C">
        <w:rPr>
          <w:rFonts w:ascii="Arial" w:hAnsi="Arial" w:cs="Arial"/>
          <w:color w:val="auto"/>
          <w:szCs w:val="24"/>
        </w:rPr>
        <w:t xml:space="preserve">. </w:t>
      </w:r>
      <w:r>
        <w:rPr>
          <w:rFonts w:ascii="Arial" w:hAnsi="Arial" w:cs="Arial"/>
          <w:color w:val="auto"/>
          <w:szCs w:val="24"/>
        </w:rPr>
        <w:t>Betw</w:t>
      </w:r>
      <w:r w:rsidR="00083E5C">
        <w:rPr>
          <w:rFonts w:ascii="Arial" w:hAnsi="Arial" w:cs="Arial"/>
          <w:color w:val="auto"/>
          <w:szCs w:val="24"/>
        </w:rPr>
        <w:t>een July and December 2012, $32 m</w:t>
      </w:r>
      <w:r>
        <w:rPr>
          <w:rFonts w:ascii="Arial" w:hAnsi="Arial" w:cs="Arial"/>
          <w:color w:val="auto"/>
          <w:szCs w:val="24"/>
        </w:rPr>
        <w:t xml:space="preserve">illion was provided for </w:t>
      </w:r>
      <w:r w:rsidR="00083E5C">
        <w:rPr>
          <w:rFonts w:ascii="Arial" w:hAnsi="Arial" w:cs="Arial"/>
          <w:color w:val="auto"/>
          <w:szCs w:val="24"/>
        </w:rPr>
        <w:t xml:space="preserve">new </w:t>
      </w:r>
      <w:r>
        <w:rPr>
          <w:rFonts w:ascii="Arial" w:hAnsi="Arial" w:cs="Arial"/>
          <w:color w:val="auto"/>
          <w:szCs w:val="24"/>
        </w:rPr>
        <w:t>services to individuals</w:t>
      </w:r>
      <w:r w:rsidR="00083E5C">
        <w:rPr>
          <w:rFonts w:ascii="Arial" w:hAnsi="Arial" w:cs="Arial"/>
          <w:color w:val="auto"/>
          <w:szCs w:val="24"/>
        </w:rPr>
        <w:t xml:space="preserve">. This </w:t>
      </w:r>
      <w:r>
        <w:rPr>
          <w:rFonts w:ascii="Arial" w:hAnsi="Arial" w:cs="Arial"/>
          <w:color w:val="auto"/>
          <w:szCs w:val="24"/>
        </w:rPr>
        <w:t>r</w:t>
      </w:r>
      <w:r w:rsidR="00230238" w:rsidRPr="00443C3C">
        <w:rPr>
          <w:rFonts w:ascii="Arial" w:hAnsi="Arial" w:cs="Arial"/>
          <w:color w:val="auto"/>
          <w:szCs w:val="24"/>
        </w:rPr>
        <w:t>epresent</w:t>
      </w:r>
      <w:r w:rsidR="00083E5C">
        <w:rPr>
          <w:rFonts w:ascii="Arial" w:hAnsi="Arial" w:cs="Arial"/>
          <w:color w:val="auto"/>
          <w:szCs w:val="24"/>
        </w:rPr>
        <w:t>s</w:t>
      </w:r>
      <w:r w:rsidR="003A7470">
        <w:rPr>
          <w:rFonts w:ascii="Arial" w:hAnsi="Arial" w:cs="Arial"/>
          <w:color w:val="auto"/>
          <w:szCs w:val="24"/>
        </w:rPr>
        <w:t xml:space="preserve"> nearly six</w:t>
      </w:r>
      <w:r w:rsidR="000730C3">
        <w:rPr>
          <w:rFonts w:ascii="Arial" w:hAnsi="Arial" w:cs="Arial"/>
          <w:color w:val="auto"/>
          <w:szCs w:val="24"/>
        </w:rPr>
        <w:t xml:space="preserve"> per cent</w:t>
      </w:r>
      <w:r w:rsidR="00230238" w:rsidRPr="00443C3C">
        <w:rPr>
          <w:rFonts w:ascii="Arial" w:hAnsi="Arial" w:cs="Arial"/>
          <w:color w:val="auto"/>
          <w:szCs w:val="24"/>
        </w:rPr>
        <w:t xml:space="preserve"> of the annual expenditure on services for people with disability, which is currently more than $710 million per annum. </w:t>
      </w:r>
      <w:r w:rsidR="00083E5C">
        <w:rPr>
          <w:rFonts w:ascii="Arial" w:hAnsi="Arial" w:cs="Arial"/>
          <w:color w:val="auto"/>
          <w:szCs w:val="24"/>
        </w:rPr>
        <w:t>The graph below shows the growth in funding received by the Commission from b</w:t>
      </w:r>
      <w:r w:rsidR="003A7470">
        <w:rPr>
          <w:rFonts w:ascii="Arial" w:hAnsi="Arial" w:cs="Arial"/>
          <w:color w:val="auto"/>
          <w:szCs w:val="24"/>
        </w:rPr>
        <w:t>oth the State and Commonwealth G</w:t>
      </w:r>
      <w:r w:rsidR="00083E5C">
        <w:rPr>
          <w:rFonts w:ascii="Arial" w:hAnsi="Arial" w:cs="Arial"/>
          <w:color w:val="auto"/>
          <w:szCs w:val="24"/>
        </w:rPr>
        <w:t>overnments</w:t>
      </w:r>
      <w:r w:rsidR="00C516BD">
        <w:rPr>
          <w:rFonts w:ascii="Arial" w:hAnsi="Arial" w:cs="Arial"/>
          <w:color w:val="auto"/>
          <w:szCs w:val="24"/>
        </w:rPr>
        <w:t xml:space="preserve"> from $357 million in 2007 – </w:t>
      </w:r>
      <w:r w:rsidR="0008529A">
        <w:rPr>
          <w:rFonts w:ascii="Arial" w:hAnsi="Arial" w:cs="Arial"/>
          <w:color w:val="auto"/>
          <w:szCs w:val="24"/>
        </w:rPr>
        <w:t>08 to</w:t>
      </w:r>
      <w:r w:rsidR="00796B8C">
        <w:rPr>
          <w:rFonts w:ascii="Arial" w:hAnsi="Arial" w:cs="Arial"/>
          <w:color w:val="auto"/>
          <w:szCs w:val="24"/>
        </w:rPr>
        <w:t xml:space="preserve"> an estimated</w:t>
      </w:r>
      <w:r w:rsidR="00C516BD">
        <w:rPr>
          <w:rFonts w:ascii="Arial" w:hAnsi="Arial" w:cs="Arial"/>
          <w:color w:val="auto"/>
          <w:szCs w:val="24"/>
        </w:rPr>
        <w:t xml:space="preserve"> $713 million in 2012 – </w:t>
      </w:r>
      <w:r w:rsidR="0008529A">
        <w:rPr>
          <w:rFonts w:ascii="Arial" w:hAnsi="Arial" w:cs="Arial"/>
          <w:color w:val="auto"/>
          <w:szCs w:val="24"/>
        </w:rPr>
        <w:t>13</w:t>
      </w:r>
      <w:r w:rsidR="00083E5C">
        <w:rPr>
          <w:rFonts w:ascii="Arial" w:hAnsi="Arial" w:cs="Arial"/>
          <w:color w:val="auto"/>
          <w:szCs w:val="24"/>
        </w:rPr>
        <w:t xml:space="preserve">. </w:t>
      </w:r>
    </w:p>
    <w:p w:rsidR="00736C8D" w:rsidRDefault="00736C8D" w:rsidP="00443C3C">
      <w:pPr>
        <w:pStyle w:val="Body1"/>
        <w:rPr>
          <w:rFonts w:ascii="Arial" w:hAnsi="Arial" w:cs="Arial"/>
          <w:color w:val="auto"/>
          <w:szCs w:val="24"/>
        </w:rPr>
      </w:pPr>
    </w:p>
    <w:p w:rsidR="00230238" w:rsidRPr="0073485C" w:rsidRDefault="00367676" w:rsidP="00796B8C">
      <w:pPr>
        <w:pStyle w:val="Body1"/>
        <w:jc w:val="center"/>
        <w:rPr>
          <w:rFonts w:ascii="Arial" w:hAnsi="Arial" w:cs="Arial"/>
          <w:color w:val="auto"/>
          <w:sz w:val="28"/>
          <w:szCs w:val="28"/>
        </w:rPr>
      </w:pPr>
      <w:r>
        <w:rPr>
          <w:noProof/>
        </w:rPr>
        <w:drawing>
          <wp:anchor distT="0" distB="0" distL="114300" distR="114300" simplePos="0" relativeHeight="251657728" behindDoc="0" locked="0" layoutInCell="1" allowOverlap="1">
            <wp:simplePos x="0" y="0"/>
            <wp:positionH relativeFrom="column">
              <wp:posOffset>-457200</wp:posOffset>
            </wp:positionH>
            <wp:positionV relativeFrom="paragraph">
              <wp:posOffset>190500</wp:posOffset>
            </wp:positionV>
            <wp:extent cx="6953250" cy="4217670"/>
            <wp:effectExtent l="0" t="0" r="0" b="0"/>
            <wp:wrapNone/>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53250" cy="4217670"/>
                    </a:xfrm>
                    <a:prstGeom prst="rect">
                      <a:avLst/>
                    </a:prstGeom>
                    <a:noFill/>
                  </pic:spPr>
                </pic:pic>
              </a:graphicData>
            </a:graphic>
            <wp14:sizeRelH relativeFrom="page">
              <wp14:pctWidth>0</wp14:pctWidth>
            </wp14:sizeRelH>
            <wp14:sizeRelV relativeFrom="page">
              <wp14:pctHeight>0</wp14:pctHeight>
            </wp14:sizeRelV>
          </wp:anchor>
        </w:drawing>
      </w:r>
      <w:r w:rsidR="00230238" w:rsidRPr="0073485C">
        <w:rPr>
          <w:rFonts w:ascii="Arial" w:hAnsi="Arial" w:cs="Arial"/>
          <w:color w:val="auto"/>
          <w:sz w:val="28"/>
          <w:szCs w:val="28"/>
        </w:rPr>
        <w:t>Growth in Combined State and Commonwealth funding</w:t>
      </w:r>
    </w:p>
    <w:p w:rsidR="00230238" w:rsidRPr="00443C3C" w:rsidRDefault="00230238" w:rsidP="00443C3C">
      <w:pPr>
        <w:pStyle w:val="Body1"/>
        <w:ind w:right="-205"/>
        <w:rPr>
          <w:rFonts w:ascii="Arial" w:hAnsi="Arial" w:cs="Arial"/>
          <w:b/>
          <w:color w:val="auto"/>
          <w:szCs w:val="24"/>
        </w:rPr>
      </w:pPr>
    </w:p>
    <w:p w:rsidR="00230238" w:rsidRPr="00443C3C" w:rsidRDefault="00230238" w:rsidP="00443C3C">
      <w:pPr>
        <w:pStyle w:val="Body1"/>
        <w:ind w:right="-205"/>
        <w:rPr>
          <w:rFonts w:ascii="Arial" w:hAnsi="Arial" w:cs="Arial"/>
          <w:b/>
          <w:color w:val="auto"/>
          <w:szCs w:val="24"/>
        </w:rPr>
      </w:pPr>
    </w:p>
    <w:p w:rsidR="00230238" w:rsidRPr="00443C3C" w:rsidRDefault="00230238" w:rsidP="00443C3C">
      <w:pPr>
        <w:pStyle w:val="Body1"/>
        <w:ind w:right="-205"/>
        <w:rPr>
          <w:rFonts w:ascii="Arial" w:hAnsi="Arial" w:cs="Arial"/>
          <w:b/>
          <w:color w:val="auto"/>
          <w:szCs w:val="24"/>
        </w:rPr>
      </w:pPr>
    </w:p>
    <w:p w:rsidR="00230238" w:rsidRPr="00443C3C" w:rsidRDefault="00230238" w:rsidP="00443C3C">
      <w:pPr>
        <w:pStyle w:val="Body1"/>
        <w:ind w:right="-205"/>
        <w:rPr>
          <w:rFonts w:ascii="Arial" w:hAnsi="Arial" w:cs="Arial"/>
          <w:b/>
          <w:color w:val="auto"/>
          <w:szCs w:val="24"/>
        </w:rPr>
      </w:pPr>
    </w:p>
    <w:p w:rsidR="00230238" w:rsidRPr="00443C3C" w:rsidRDefault="00230238" w:rsidP="00443C3C">
      <w:pPr>
        <w:pStyle w:val="Body1"/>
        <w:ind w:right="-205"/>
        <w:rPr>
          <w:rFonts w:ascii="Arial" w:hAnsi="Arial" w:cs="Arial"/>
          <w:b/>
          <w:color w:val="auto"/>
          <w:szCs w:val="24"/>
        </w:rPr>
      </w:pPr>
    </w:p>
    <w:p w:rsidR="00230238" w:rsidRPr="00443C3C" w:rsidRDefault="00230238" w:rsidP="00443C3C">
      <w:pPr>
        <w:pStyle w:val="Body1"/>
        <w:ind w:right="-205"/>
        <w:rPr>
          <w:rFonts w:ascii="Arial" w:hAnsi="Arial" w:cs="Arial"/>
          <w:b/>
          <w:color w:val="auto"/>
          <w:szCs w:val="24"/>
        </w:rPr>
      </w:pPr>
    </w:p>
    <w:p w:rsidR="00230238" w:rsidRPr="00443C3C" w:rsidRDefault="00230238" w:rsidP="00443C3C">
      <w:pPr>
        <w:pStyle w:val="Body1"/>
        <w:ind w:right="-205"/>
        <w:rPr>
          <w:rFonts w:ascii="Arial" w:hAnsi="Arial" w:cs="Arial"/>
          <w:b/>
          <w:color w:val="auto"/>
          <w:szCs w:val="24"/>
        </w:rPr>
      </w:pPr>
    </w:p>
    <w:p w:rsidR="00230238" w:rsidRPr="00443C3C" w:rsidRDefault="00230238" w:rsidP="00443C3C">
      <w:pPr>
        <w:pStyle w:val="Body1"/>
        <w:ind w:right="-205"/>
        <w:rPr>
          <w:rFonts w:ascii="Arial" w:hAnsi="Arial" w:cs="Arial"/>
          <w:b/>
          <w:color w:val="auto"/>
          <w:szCs w:val="24"/>
        </w:rPr>
      </w:pPr>
    </w:p>
    <w:p w:rsidR="00230238" w:rsidRPr="00443C3C" w:rsidRDefault="00230238" w:rsidP="00443C3C">
      <w:pPr>
        <w:pStyle w:val="Body1"/>
        <w:ind w:right="-205"/>
        <w:rPr>
          <w:rFonts w:ascii="Arial" w:hAnsi="Arial" w:cs="Arial"/>
          <w:b/>
          <w:color w:val="auto"/>
          <w:szCs w:val="24"/>
        </w:rPr>
      </w:pPr>
    </w:p>
    <w:p w:rsidR="00230238" w:rsidRPr="00443C3C" w:rsidRDefault="00230238" w:rsidP="00443C3C">
      <w:pPr>
        <w:pStyle w:val="Body1"/>
        <w:ind w:right="-205"/>
        <w:rPr>
          <w:rFonts w:ascii="Arial" w:hAnsi="Arial" w:cs="Arial"/>
          <w:b/>
          <w:color w:val="auto"/>
          <w:szCs w:val="24"/>
        </w:rPr>
      </w:pPr>
    </w:p>
    <w:p w:rsidR="00230238" w:rsidRPr="00443C3C" w:rsidRDefault="00230238" w:rsidP="00443C3C">
      <w:pPr>
        <w:pStyle w:val="Body1"/>
        <w:ind w:right="-205"/>
        <w:rPr>
          <w:rFonts w:ascii="Arial" w:hAnsi="Arial" w:cs="Arial"/>
          <w:b/>
          <w:color w:val="auto"/>
          <w:szCs w:val="24"/>
        </w:rPr>
      </w:pPr>
    </w:p>
    <w:p w:rsidR="00230238" w:rsidRPr="00443C3C" w:rsidRDefault="00230238" w:rsidP="00443C3C">
      <w:pPr>
        <w:pStyle w:val="Body1"/>
        <w:ind w:right="-205"/>
        <w:rPr>
          <w:rFonts w:ascii="Arial" w:hAnsi="Arial" w:cs="Arial"/>
          <w:b/>
          <w:color w:val="auto"/>
          <w:szCs w:val="24"/>
        </w:rPr>
      </w:pPr>
    </w:p>
    <w:p w:rsidR="00230238" w:rsidRPr="00443C3C" w:rsidRDefault="00230238" w:rsidP="00443C3C">
      <w:pPr>
        <w:pStyle w:val="Body1"/>
        <w:ind w:right="-205"/>
        <w:rPr>
          <w:rFonts w:ascii="Arial" w:hAnsi="Arial" w:cs="Arial"/>
          <w:b/>
          <w:color w:val="auto"/>
          <w:szCs w:val="24"/>
        </w:rPr>
      </w:pPr>
    </w:p>
    <w:p w:rsidR="00230238" w:rsidRPr="00443C3C" w:rsidRDefault="00230238" w:rsidP="00443C3C">
      <w:pPr>
        <w:pStyle w:val="Body1"/>
        <w:ind w:right="-205"/>
        <w:rPr>
          <w:rFonts w:ascii="Arial" w:hAnsi="Arial" w:cs="Arial"/>
          <w:b/>
          <w:color w:val="auto"/>
          <w:szCs w:val="24"/>
        </w:rPr>
      </w:pPr>
    </w:p>
    <w:p w:rsidR="00230238" w:rsidRPr="00443C3C" w:rsidRDefault="00230238" w:rsidP="00443C3C">
      <w:pPr>
        <w:pStyle w:val="Body1"/>
        <w:ind w:right="-205"/>
        <w:rPr>
          <w:rFonts w:ascii="Arial" w:hAnsi="Arial" w:cs="Arial"/>
          <w:b/>
          <w:color w:val="auto"/>
          <w:szCs w:val="24"/>
        </w:rPr>
      </w:pPr>
    </w:p>
    <w:p w:rsidR="00230238" w:rsidRPr="00443C3C" w:rsidRDefault="00230238" w:rsidP="00443C3C">
      <w:pPr>
        <w:pStyle w:val="Body1"/>
        <w:ind w:right="-205"/>
        <w:rPr>
          <w:rFonts w:ascii="Arial" w:hAnsi="Arial" w:cs="Arial"/>
          <w:b/>
          <w:color w:val="auto"/>
          <w:szCs w:val="24"/>
        </w:rPr>
      </w:pPr>
    </w:p>
    <w:p w:rsidR="00230238" w:rsidRPr="00443C3C" w:rsidRDefault="00230238" w:rsidP="00443C3C">
      <w:pPr>
        <w:pStyle w:val="Body1"/>
        <w:ind w:right="-205"/>
        <w:rPr>
          <w:rFonts w:ascii="Arial" w:hAnsi="Arial" w:cs="Arial"/>
          <w:b/>
          <w:color w:val="auto"/>
          <w:szCs w:val="24"/>
        </w:rPr>
      </w:pPr>
    </w:p>
    <w:p w:rsidR="00230238" w:rsidRPr="00443C3C" w:rsidRDefault="00230238" w:rsidP="00443C3C">
      <w:pPr>
        <w:pStyle w:val="Body1"/>
        <w:ind w:right="-205"/>
        <w:rPr>
          <w:rFonts w:ascii="Arial" w:hAnsi="Arial" w:cs="Arial"/>
          <w:b/>
          <w:color w:val="auto"/>
          <w:szCs w:val="24"/>
        </w:rPr>
      </w:pPr>
    </w:p>
    <w:p w:rsidR="00230238" w:rsidRPr="00443C3C" w:rsidRDefault="00230238" w:rsidP="00443C3C">
      <w:pPr>
        <w:pStyle w:val="Body1"/>
        <w:ind w:right="-205"/>
        <w:rPr>
          <w:rFonts w:ascii="Arial" w:hAnsi="Arial" w:cs="Arial"/>
          <w:b/>
          <w:color w:val="auto"/>
          <w:szCs w:val="24"/>
        </w:rPr>
      </w:pPr>
    </w:p>
    <w:p w:rsidR="00230238" w:rsidRPr="00443C3C" w:rsidRDefault="00230238" w:rsidP="00443C3C">
      <w:pPr>
        <w:pStyle w:val="Body1"/>
        <w:ind w:right="-205"/>
        <w:rPr>
          <w:rFonts w:ascii="Arial" w:hAnsi="Arial" w:cs="Arial"/>
          <w:b/>
          <w:color w:val="auto"/>
          <w:szCs w:val="24"/>
        </w:rPr>
      </w:pPr>
    </w:p>
    <w:p w:rsidR="00230238" w:rsidRPr="00443C3C" w:rsidRDefault="00230238" w:rsidP="00443C3C">
      <w:pPr>
        <w:pStyle w:val="Body1"/>
        <w:ind w:right="-205"/>
        <w:rPr>
          <w:rFonts w:ascii="Arial" w:hAnsi="Arial" w:cs="Arial"/>
          <w:b/>
          <w:color w:val="auto"/>
          <w:szCs w:val="24"/>
        </w:rPr>
      </w:pPr>
    </w:p>
    <w:p w:rsidR="00230238" w:rsidRDefault="00230238" w:rsidP="00443C3C">
      <w:pPr>
        <w:pStyle w:val="Body1"/>
        <w:ind w:right="-205"/>
        <w:rPr>
          <w:rFonts w:ascii="Arial" w:hAnsi="Arial" w:cs="Arial"/>
          <w:b/>
          <w:color w:val="auto"/>
          <w:szCs w:val="24"/>
        </w:rPr>
      </w:pPr>
    </w:p>
    <w:p w:rsidR="00736C8D" w:rsidRPr="00443C3C" w:rsidRDefault="00736C8D" w:rsidP="00443C3C">
      <w:pPr>
        <w:pStyle w:val="Body1"/>
        <w:ind w:right="-205"/>
        <w:rPr>
          <w:rFonts w:ascii="Arial" w:hAnsi="Arial" w:cs="Arial"/>
          <w:b/>
          <w:color w:val="auto"/>
          <w:szCs w:val="24"/>
        </w:rPr>
      </w:pPr>
    </w:p>
    <w:p w:rsidR="003D3206" w:rsidRDefault="003D3206" w:rsidP="00443C3C">
      <w:pPr>
        <w:pStyle w:val="Body1"/>
        <w:ind w:right="-205"/>
        <w:rPr>
          <w:rFonts w:ascii="Arial" w:hAnsi="Arial" w:cs="Arial"/>
          <w:b/>
          <w:color w:val="auto"/>
          <w:sz w:val="28"/>
          <w:szCs w:val="28"/>
        </w:rPr>
      </w:pPr>
    </w:p>
    <w:p w:rsidR="0073485C" w:rsidRDefault="0073485C" w:rsidP="00443C3C">
      <w:pPr>
        <w:pStyle w:val="Body1"/>
        <w:ind w:right="-205"/>
        <w:rPr>
          <w:rFonts w:ascii="Arial" w:hAnsi="Arial" w:cs="Arial"/>
          <w:b/>
          <w:color w:val="auto"/>
          <w:sz w:val="28"/>
          <w:szCs w:val="28"/>
        </w:rPr>
      </w:pPr>
    </w:p>
    <w:p w:rsidR="00230238" w:rsidRPr="00443C3C" w:rsidRDefault="00230238" w:rsidP="00443C3C">
      <w:pPr>
        <w:pStyle w:val="Body1"/>
        <w:rPr>
          <w:rFonts w:ascii="Arial" w:hAnsi="Arial" w:cs="Arial"/>
          <w:color w:val="auto"/>
          <w:szCs w:val="24"/>
        </w:rPr>
      </w:pPr>
      <w:r w:rsidRPr="00443C3C">
        <w:rPr>
          <w:rFonts w:ascii="Arial" w:hAnsi="Arial" w:cs="Arial"/>
          <w:color w:val="auto"/>
          <w:szCs w:val="24"/>
        </w:rPr>
        <w:lastRenderedPageBreak/>
        <w:t xml:space="preserve">Previously, reports on the allocation of new funding by the Commission were limited to the funding allocated through the Combined Application Process (CAP). While this funding stream represents a significant proportion of individualised funding expenditure, it only includes Accommodation Support, Intensive Family Support and Alternatives to Employment.   </w:t>
      </w:r>
    </w:p>
    <w:p w:rsidR="00230238" w:rsidRPr="00443C3C" w:rsidRDefault="00230238" w:rsidP="00443C3C">
      <w:pPr>
        <w:pStyle w:val="Body1"/>
        <w:rPr>
          <w:rFonts w:ascii="Arial" w:hAnsi="Arial" w:cs="Arial"/>
          <w:color w:val="auto"/>
          <w:szCs w:val="24"/>
        </w:rPr>
      </w:pPr>
    </w:p>
    <w:p w:rsidR="00230238" w:rsidRPr="00443C3C" w:rsidRDefault="00230238" w:rsidP="00443C3C">
      <w:pPr>
        <w:pStyle w:val="Body1"/>
        <w:rPr>
          <w:rFonts w:ascii="Arial" w:hAnsi="Arial" w:cs="Arial"/>
          <w:color w:val="auto"/>
          <w:szCs w:val="24"/>
        </w:rPr>
      </w:pPr>
      <w:r w:rsidRPr="00443C3C">
        <w:rPr>
          <w:rFonts w:ascii="Arial" w:hAnsi="Arial" w:cs="Arial"/>
          <w:color w:val="auto"/>
          <w:szCs w:val="24"/>
        </w:rPr>
        <w:t>This Disability Support Fun</w:t>
      </w:r>
      <w:r w:rsidR="003A7470">
        <w:rPr>
          <w:rFonts w:ascii="Arial" w:hAnsi="Arial" w:cs="Arial"/>
          <w:color w:val="auto"/>
          <w:szCs w:val="24"/>
        </w:rPr>
        <w:t>ding Bulletin replaces the CAP B</w:t>
      </w:r>
      <w:r w:rsidRPr="00443C3C">
        <w:rPr>
          <w:rFonts w:ascii="Arial" w:hAnsi="Arial" w:cs="Arial"/>
          <w:color w:val="auto"/>
          <w:szCs w:val="24"/>
        </w:rPr>
        <w:t xml:space="preserve">ulletin. It includes information about the full range of individualised funding allocations and will be published </w:t>
      </w:r>
      <w:r w:rsidR="00641F94">
        <w:rPr>
          <w:rFonts w:ascii="Arial" w:hAnsi="Arial" w:cs="Arial"/>
          <w:color w:val="auto"/>
          <w:szCs w:val="24"/>
        </w:rPr>
        <w:t>every six months</w:t>
      </w:r>
      <w:r w:rsidRPr="00443C3C">
        <w:rPr>
          <w:rFonts w:ascii="Arial" w:hAnsi="Arial" w:cs="Arial"/>
          <w:color w:val="auto"/>
          <w:szCs w:val="24"/>
        </w:rPr>
        <w:t xml:space="preserve"> to ensure that people with disability, their families and carers and the community have access to contemporary data on the supports and services that have been funded.</w:t>
      </w:r>
    </w:p>
    <w:p w:rsidR="00230238" w:rsidRPr="00443C3C" w:rsidRDefault="00230238" w:rsidP="00443C3C">
      <w:pPr>
        <w:pStyle w:val="Body1"/>
        <w:rPr>
          <w:rFonts w:ascii="Arial" w:hAnsi="Arial" w:cs="Arial"/>
          <w:color w:val="auto"/>
          <w:szCs w:val="24"/>
        </w:rPr>
      </w:pPr>
    </w:p>
    <w:p w:rsidR="00230238" w:rsidRPr="000730C3" w:rsidRDefault="00230238" w:rsidP="00443C3C">
      <w:pPr>
        <w:pStyle w:val="Body1"/>
        <w:rPr>
          <w:rFonts w:ascii="Arial" w:hAnsi="Arial" w:cs="Arial"/>
          <w:b/>
          <w:color w:val="auto"/>
          <w:sz w:val="28"/>
          <w:szCs w:val="28"/>
          <w:u w:color="31849B"/>
          <w:lang w:val="en-US"/>
        </w:rPr>
      </w:pPr>
      <w:r w:rsidRPr="000730C3">
        <w:rPr>
          <w:rFonts w:ascii="Arial" w:hAnsi="Arial" w:cs="Arial"/>
          <w:b/>
          <w:color w:val="auto"/>
          <w:sz w:val="28"/>
          <w:szCs w:val="28"/>
          <w:u w:color="31849B"/>
          <w:lang w:val="en-US"/>
        </w:rPr>
        <w:t>Funding outcomes July – December 2012</w:t>
      </w:r>
    </w:p>
    <w:p w:rsidR="008F05B3" w:rsidRPr="00443C3C" w:rsidRDefault="008F05B3" w:rsidP="00443C3C">
      <w:pPr>
        <w:pStyle w:val="Body1"/>
        <w:rPr>
          <w:rFonts w:ascii="Arial" w:hAnsi="Arial" w:cs="Arial"/>
          <w:color w:val="auto"/>
          <w:szCs w:val="24"/>
          <w:u w:color="31849B"/>
          <w:lang w:val="en-US"/>
        </w:rPr>
      </w:pPr>
    </w:p>
    <w:p w:rsidR="00230238" w:rsidRPr="00443C3C" w:rsidRDefault="00230238" w:rsidP="00443C3C">
      <w:pPr>
        <w:pStyle w:val="Body1"/>
        <w:rPr>
          <w:rFonts w:ascii="Arial" w:hAnsi="Arial" w:cs="Arial"/>
          <w:color w:val="auto"/>
          <w:szCs w:val="24"/>
        </w:rPr>
      </w:pPr>
      <w:r w:rsidRPr="001418AA">
        <w:rPr>
          <w:rFonts w:ascii="Arial" w:hAnsi="Arial" w:cs="Arial"/>
          <w:color w:val="auto"/>
          <w:szCs w:val="24"/>
        </w:rPr>
        <w:t>For the first half of 2012 – 2013 more than $32 million</w:t>
      </w:r>
      <w:r w:rsidR="00F53D73" w:rsidRPr="001418AA">
        <w:rPr>
          <w:rFonts w:ascii="Arial" w:hAnsi="Arial" w:cs="Arial"/>
          <w:color w:val="auto"/>
          <w:szCs w:val="24"/>
        </w:rPr>
        <w:t xml:space="preserve"> of</w:t>
      </w:r>
      <w:r w:rsidRPr="001418AA">
        <w:rPr>
          <w:rFonts w:ascii="Arial" w:hAnsi="Arial" w:cs="Arial"/>
          <w:color w:val="auto"/>
          <w:szCs w:val="24"/>
        </w:rPr>
        <w:t xml:space="preserve"> </w:t>
      </w:r>
      <w:r w:rsidR="00F53D73" w:rsidRPr="001418AA">
        <w:rPr>
          <w:rFonts w:ascii="Arial" w:hAnsi="Arial" w:cs="Arial"/>
          <w:color w:val="auto"/>
          <w:szCs w:val="24"/>
        </w:rPr>
        <w:t xml:space="preserve">new funding </w:t>
      </w:r>
      <w:r w:rsidRPr="001418AA">
        <w:rPr>
          <w:rFonts w:ascii="Arial" w:hAnsi="Arial" w:cs="Arial"/>
          <w:color w:val="auto"/>
          <w:szCs w:val="24"/>
        </w:rPr>
        <w:t>was available for people with disability,</w:t>
      </w:r>
      <w:r w:rsidRPr="00443C3C">
        <w:rPr>
          <w:rFonts w:ascii="Arial" w:hAnsi="Arial" w:cs="Arial"/>
          <w:color w:val="auto"/>
          <w:szCs w:val="24"/>
        </w:rPr>
        <w:t xml:space="preserve"> their families and carers for a range of supports.</w:t>
      </w:r>
      <w:r w:rsidR="00E2762A">
        <w:rPr>
          <w:rFonts w:ascii="Arial" w:hAnsi="Arial" w:cs="Arial"/>
          <w:color w:val="auto"/>
          <w:szCs w:val="24"/>
        </w:rPr>
        <w:t xml:space="preserve"> </w:t>
      </w:r>
      <w:r w:rsidRPr="00443C3C">
        <w:rPr>
          <w:rFonts w:ascii="Arial" w:hAnsi="Arial" w:cs="Arial"/>
          <w:color w:val="auto"/>
          <w:szCs w:val="24"/>
        </w:rPr>
        <w:t xml:space="preserve">These funds enabled </w:t>
      </w:r>
      <w:r w:rsidRPr="00A00C07">
        <w:rPr>
          <w:rFonts w:ascii="Arial" w:hAnsi="Arial" w:cs="Arial"/>
          <w:color w:val="auto"/>
          <w:szCs w:val="24"/>
        </w:rPr>
        <w:t>3</w:t>
      </w:r>
      <w:r w:rsidR="00935F3A">
        <w:rPr>
          <w:rFonts w:ascii="Arial" w:hAnsi="Arial" w:cs="Arial"/>
          <w:color w:val="auto"/>
          <w:szCs w:val="24"/>
        </w:rPr>
        <w:t>13 additional</w:t>
      </w:r>
      <w:r w:rsidRPr="00443C3C">
        <w:rPr>
          <w:rFonts w:ascii="Arial" w:hAnsi="Arial" w:cs="Arial"/>
          <w:color w:val="auto"/>
          <w:szCs w:val="24"/>
        </w:rPr>
        <w:t xml:space="preserve"> people to be rec</w:t>
      </w:r>
      <w:r w:rsidR="00A00C07">
        <w:rPr>
          <w:rFonts w:ascii="Arial" w:hAnsi="Arial" w:cs="Arial"/>
          <w:color w:val="auto"/>
          <w:szCs w:val="24"/>
        </w:rPr>
        <w:t xml:space="preserve">ommended for individual support </w:t>
      </w:r>
      <w:r w:rsidR="00935F3A">
        <w:rPr>
          <w:rFonts w:ascii="Arial" w:hAnsi="Arial" w:cs="Arial"/>
          <w:color w:val="auto"/>
          <w:szCs w:val="24"/>
        </w:rPr>
        <w:t xml:space="preserve">and </w:t>
      </w:r>
      <w:r w:rsidR="00284C6B">
        <w:rPr>
          <w:rFonts w:ascii="Arial" w:hAnsi="Arial" w:cs="Arial"/>
          <w:color w:val="auto"/>
          <w:szCs w:val="24"/>
        </w:rPr>
        <w:t xml:space="preserve">for </w:t>
      </w:r>
      <w:r w:rsidR="00A00C07">
        <w:rPr>
          <w:rFonts w:ascii="Arial" w:hAnsi="Arial" w:cs="Arial"/>
          <w:color w:val="auto"/>
          <w:szCs w:val="24"/>
        </w:rPr>
        <w:t>25</w:t>
      </w:r>
      <w:r w:rsidRPr="00443C3C">
        <w:rPr>
          <w:rFonts w:ascii="Arial" w:hAnsi="Arial" w:cs="Arial"/>
          <w:color w:val="auto"/>
          <w:szCs w:val="24"/>
        </w:rPr>
        <w:t xml:space="preserve"> </w:t>
      </w:r>
      <w:r w:rsidR="000B032C">
        <w:rPr>
          <w:rFonts w:ascii="Arial" w:hAnsi="Arial" w:cs="Arial"/>
          <w:color w:val="auto"/>
          <w:szCs w:val="24"/>
        </w:rPr>
        <w:t xml:space="preserve">people </w:t>
      </w:r>
      <w:r w:rsidR="00284C6B">
        <w:rPr>
          <w:rFonts w:ascii="Arial" w:hAnsi="Arial" w:cs="Arial"/>
          <w:color w:val="auto"/>
          <w:szCs w:val="24"/>
        </w:rPr>
        <w:t xml:space="preserve">to </w:t>
      </w:r>
      <w:r w:rsidR="00A00C07">
        <w:rPr>
          <w:rFonts w:ascii="Arial" w:hAnsi="Arial" w:cs="Arial"/>
          <w:color w:val="auto"/>
          <w:szCs w:val="24"/>
        </w:rPr>
        <w:t>receiv</w:t>
      </w:r>
      <w:r w:rsidR="000B032C">
        <w:rPr>
          <w:rFonts w:ascii="Arial" w:hAnsi="Arial" w:cs="Arial"/>
          <w:color w:val="auto"/>
          <w:szCs w:val="24"/>
        </w:rPr>
        <w:t>e</w:t>
      </w:r>
      <w:r w:rsidR="00A00C07">
        <w:rPr>
          <w:rFonts w:ascii="Arial" w:hAnsi="Arial" w:cs="Arial"/>
          <w:color w:val="auto"/>
          <w:szCs w:val="24"/>
        </w:rPr>
        <w:t xml:space="preserve"> </w:t>
      </w:r>
      <w:r w:rsidR="000B032C">
        <w:rPr>
          <w:rFonts w:ascii="Arial" w:hAnsi="Arial" w:cs="Arial"/>
          <w:color w:val="auto"/>
          <w:szCs w:val="24"/>
        </w:rPr>
        <w:t xml:space="preserve">an </w:t>
      </w:r>
      <w:r w:rsidR="00A00C07">
        <w:rPr>
          <w:rFonts w:ascii="Arial" w:hAnsi="Arial" w:cs="Arial"/>
          <w:color w:val="auto"/>
          <w:szCs w:val="24"/>
        </w:rPr>
        <w:t>increas</w:t>
      </w:r>
      <w:r w:rsidR="000B032C">
        <w:rPr>
          <w:rFonts w:ascii="Arial" w:hAnsi="Arial" w:cs="Arial"/>
          <w:color w:val="auto"/>
          <w:szCs w:val="24"/>
        </w:rPr>
        <w:t>e in</w:t>
      </w:r>
      <w:r w:rsidR="00A00C07">
        <w:rPr>
          <w:rFonts w:ascii="Arial" w:hAnsi="Arial" w:cs="Arial"/>
          <w:color w:val="auto"/>
          <w:szCs w:val="24"/>
        </w:rPr>
        <w:t xml:space="preserve"> </w:t>
      </w:r>
      <w:r w:rsidR="00935F3A">
        <w:rPr>
          <w:rFonts w:ascii="Arial" w:hAnsi="Arial" w:cs="Arial"/>
          <w:color w:val="auto"/>
          <w:szCs w:val="24"/>
        </w:rPr>
        <w:t xml:space="preserve">their current level of </w:t>
      </w:r>
      <w:r w:rsidR="00A00C07">
        <w:rPr>
          <w:rFonts w:ascii="Arial" w:hAnsi="Arial" w:cs="Arial"/>
          <w:color w:val="auto"/>
          <w:szCs w:val="24"/>
        </w:rPr>
        <w:t>support</w:t>
      </w:r>
      <w:r w:rsidR="00935F3A">
        <w:rPr>
          <w:rFonts w:ascii="Arial" w:hAnsi="Arial" w:cs="Arial"/>
          <w:color w:val="auto"/>
          <w:szCs w:val="24"/>
        </w:rPr>
        <w:t>.</w:t>
      </w:r>
      <w:r w:rsidR="00A00C07">
        <w:rPr>
          <w:rFonts w:ascii="Arial" w:hAnsi="Arial" w:cs="Arial"/>
          <w:color w:val="auto"/>
          <w:szCs w:val="24"/>
        </w:rPr>
        <w:t xml:space="preserve"> </w:t>
      </w:r>
      <w:r w:rsidR="00935F3A">
        <w:rPr>
          <w:rFonts w:ascii="Arial" w:hAnsi="Arial" w:cs="Arial"/>
          <w:color w:val="auto"/>
          <w:szCs w:val="24"/>
        </w:rPr>
        <w:t>A</w:t>
      </w:r>
      <w:r w:rsidRPr="00443C3C">
        <w:rPr>
          <w:rFonts w:ascii="Arial" w:hAnsi="Arial" w:cs="Arial"/>
          <w:color w:val="auto"/>
          <w:szCs w:val="24"/>
        </w:rPr>
        <w:t xml:space="preserve"> further 5,484 people receiv</w:t>
      </w:r>
      <w:r w:rsidR="00935F3A">
        <w:rPr>
          <w:rFonts w:ascii="Arial" w:hAnsi="Arial" w:cs="Arial"/>
          <w:color w:val="auto"/>
          <w:szCs w:val="24"/>
        </w:rPr>
        <w:t>ed</w:t>
      </w:r>
      <w:r w:rsidRPr="00443C3C">
        <w:rPr>
          <w:rFonts w:ascii="Arial" w:hAnsi="Arial" w:cs="Arial"/>
          <w:color w:val="auto"/>
          <w:szCs w:val="24"/>
        </w:rPr>
        <w:t xml:space="preserve"> aids or equipment.</w:t>
      </w:r>
      <w:r w:rsidR="00E2762A">
        <w:rPr>
          <w:rFonts w:ascii="Arial" w:hAnsi="Arial" w:cs="Arial"/>
          <w:color w:val="auto"/>
          <w:szCs w:val="24"/>
        </w:rPr>
        <w:t xml:space="preserve"> </w:t>
      </w:r>
      <w:r w:rsidR="00284C6B">
        <w:rPr>
          <w:rFonts w:ascii="Arial" w:hAnsi="Arial" w:cs="Arial"/>
          <w:color w:val="auto"/>
          <w:szCs w:val="24"/>
        </w:rPr>
        <w:t>As at June 2012, p</w:t>
      </w:r>
      <w:r w:rsidR="00935F3A">
        <w:rPr>
          <w:rFonts w:ascii="Arial" w:hAnsi="Arial" w:cs="Arial"/>
          <w:color w:val="auto"/>
          <w:szCs w:val="24"/>
        </w:rPr>
        <w:t>rior to the new funding</w:t>
      </w:r>
      <w:r w:rsidR="00284C6B">
        <w:rPr>
          <w:rFonts w:ascii="Arial" w:hAnsi="Arial" w:cs="Arial"/>
          <w:color w:val="auto"/>
          <w:szCs w:val="24"/>
        </w:rPr>
        <w:t>,</w:t>
      </w:r>
      <w:r w:rsidR="00935F3A">
        <w:rPr>
          <w:rFonts w:ascii="Arial" w:hAnsi="Arial" w:cs="Arial"/>
          <w:color w:val="auto"/>
          <w:szCs w:val="24"/>
        </w:rPr>
        <w:t xml:space="preserve"> the Commission was supporting </w:t>
      </w:r>
      <w:r w:rsidR="00795102">
        <w:rPr>
          <w:rFonts w:ascii="Arial" w:hAnsi="Arial" w:cs="Arial"/>
          <w:color w:val="auto"/>
          <w:szCs w:val="24"/>
        </w:rPr>
        <w:t>23,412</w:t>
      </w:r>
      <w:r w:rsidR="00E2762A">
        <w:rPr>
          <w:rFonts w:ascii="Arial" w:hAnsi="Arial" w:cs="Arial"/>
          <w:color w:val="auto"/>
          <w:szCs w:val="24"/>
        </w:rPr>
        <w:t xml:space="preserve"> </w:t>
      </w:r>
      <w:r w:rsidR="001540FC">
        <w:rPr>
          <w:rFonts w:ascii="Arial" w:hAnsi="Arial" w:cs="Arial"/>
          <w:color w:val="auto"/>
          <w:szCs w:val="24"/>
        </w:rPr>
        <w:t>people</w:t>
      </w:r>
      <w:r w:rsidR="00284C6B">
        <w:rPr>
          <w:rFonts w:ascii="Arial" w:hAnsi="Arial" w:cs="Arial"/>
          <w:color w:val="auto"/>
          <w:szCs w:val="24"/>
        </w:rPr>
        <w:t>.</w:t>
      </w:r>
      <w:r w:rsidR="00E2762A">
        <w:rPr>
          <w:rFonts w:ascii="Arial" w:hAnsi="Arial" w:cs="Arial"/>
          <w:color w:val="auto"/>
          <w:szCs w:val="24"/>
        </w:rPr>
        <w:t xml:space="preserve"> </w:t>
      </w:r>
    </w:p>
    <w:p w:rsidR="00230238" w:rsidRPr="00443C3C" w:rsidRDefault="00230238" w:rsidP="00443C3C">
      <w:pPr>
        <w:pStyle w:val="Body1"/>
        <w:rPr>
          <w:rFonts w:ascii="Arial" w:hAnsi="Arial" w:cs="Arial"/>
          <w:b/>
          <w:color w:val="auto"/>
          <w:szCs w:val="24"/>
          <w:u w:color="31849B"/>
          <w:lang w:val="en-US"/>
        </w:rPr>
      </w:pPr>
    </w:p>
    <w:tbl>
      <w:tblPr>
        <w:tblW w:w="9791" w:type="dxa"/>
        <w:shd w:val="clear" w:color="auto" w:fill="FFFFFF"/>
        <w:tblLayout w:type="fixed"/>
        <w:tblLook w:val="0000" w:firstRow="0" w:lastRow="0" w:firstColumn="0" w:lastColumn="0" w:noHBand="0" w:noVBand="0"/>
      </w:tblPr>
      <w:tblGrid>
        <w:gridCol w:w="1685"/>
        <w:gridCol w:w="8106"/>
      </w:tblGrid>
      <w:tr w:rsidR="00443C3C" w:rsidRPr="00443C3C" w:rsidTr="000730C3">
        <w:trPr>
          <w:cantSplit/>
          <w:trHeight w:val="340"/>
        </w:trPr>
        <w:tc>
          <w:tcPr>
            <w:tcW w:w="1685" w:type="dxa"/>
            <w:shd w:val="clear" w:color="auto" w:fill="FFFFFF"/>
            <w:tcMar>
              <w:top w:w="80" w:type="dxa"/>
              <w:left w:w="0" w:type="dxa"/>
              <w:bottom w:w="80" w:type="dxa"/>
              <w:right w:w="0" w:type="dxa"/>
            </w:tcMar>
          </w:tcPr>
          <w:p w:rsidR="00230238" w:rsidRPr="00443C3C" w:rsidRDefault="00230238" w:rsidP="00443C3C">
            <w:pPr>
              <w:pStyle w:val="Body1"/>
              <w:rPr>
                <w:rFonts w:ascii="Arial" w:hAnsi="Arial" w:cs="Arial"/>
                <w:b/>
                <w:color w:val="auto"/>
                <w:szCs w:val="24"/>
                <w:u w:color="31849B"/>
                <w:lang w:val="en-US"/>
              </w:rPr>
            </w:pPr>
            <w:r w:rsidRPr="00443C3C">
              <w:rPr>
                <w:rFonts w:ascii="Arial" w:hAnsi="Arial" w:cs="Arial"/>
                <w:b/>
                <w:color w:val="auto"/>
                <w:szCs w:val="24"/>
                <w:u w:color="31849B"/>
                <w:lang w:val="en-US"/>
              </w:rPr>
              <w:t>72</w:t>
            </w:r>
          </w:p>
        </w:tc>
        <w:tc>
          <w:tcPr>
            <w:tcW w:w="8106" w:type="dxa"/>
            <w:shd w:val="clear" w:color="auto" w:fill="FFFFFF"/>
            <w:tcMar>
              <w:top w:w="80" w:type="dxa"/>
              <w:left w:w="0" w:type="dxa"/>
              <w:bottom w:w="80" w:type="dxa"/>
              <w:right w:w="0" w:type="dxa"/>
            </w:tcMar>
          </w:tcPr>
          <w:p w:rsidR="00230238" w:rsidRPr="00443C3C" w:rsidRDefault="00230238" w:rsidP="00443C3C">
            <w:pPr>
              <w:pStyle w:val="Body1"/>
              <w:rPr>
                <w:rFonts w:ascii="Arial" w:hAnsi="Arial" w:cs="Arial"/>
                <w:color w:val="auto"/>
                <w:szCs w:val="24"/>
                <w:u w:color="31849B"/>
                <w:lang w:val="en-US"/>
              </w:rPr>
            </w:pPr>
            <w:r w:rsidRPr="00443C3C">
              <w:rPr>
                <w:rFonts w:ascii="Arial" w:hAnsi="Arial" w:cs="Arial"/>
                <w:color w:val="auto"/>
                <w:szCs w:val="24"/>
                <w:u w:color="31849B"/>
                <w:lang w:val="en-US"/>
              </w:rPr>
              <w:t>Number of people who received new funding for out-of-home</w:t>
            </w:r>
            <w:r w:rsidRPr="00443C3C">
              <w:rPr>
                <w:rFonts w:ascii="Arial" w:hAnsi="Arial" w:cs="Arial"/>
                <w:b/>
                <w:color w:val="auto"/>
                <w:szCs w:val="24"/>
                <w:u w:color="31849B"/>
                <w:lang w:val="en-US"/>
              </w:rPr>
              <w:t xml:space="preserve"> Accommodation Support</w:t>
            </w:r>
            <w:r w:rsidRPr="00443C3C">
              <w:rPr>
                <w:rFonts w:ascii="Arial" w:hAnsi="Arial" w:cs="Arial"/>
                <w:color w:val="auto"/>
                <w:szCs w:val="24"/>
                <w:u w:color="31849B"/>
                <w:lang w:val="en-US"/>
              </w:rPr>
              <w:t xml:space="preserve"> </w:t>
            </w:r>
          </w:p>
        </w:tc>
      </w:tr>
      <w:tr w:rsidR="00443C3C" w:rsidRPr="00443C3C" w:rsidTr="000730C3">
        <w:trPr>
          <w:cantSplit/>
          <w:trHeight w:val="340"/>
        </w:trPr>
        <w:tc>
          <w:tcPr>
            <w:tcW w:w="1685" w:type="dxa"/>
            <w:shd w:val="clear" w:color="auto" w:fill="D2EAF1"/>
            <w:tcMar>
              <w:top w:w="80" w:type="dxa"/>
              <w:left w:w="0" w:type="dxa"/>
              <w:bottom w:w="80" w:type="dxa"/>
              <w:right w:w="0" w:type="dxa"/>
            </w:tcMar>
          </w:tcPr>
          <w:p w:rsidR="00230238" w:rsidRPr="00443C3C" w:rsidRDefault="00230238" w:rsidP="00443C3C">
            <w:pPr>
              <w:pStyle w:val="Body1"/>
              <w:rPr>
                <w:rFonts w:ascii="Arial" w:hAnsi="Arial" w:cs="Arial"/>
                <w:b/>
                <w:color w:val="auto"/>
                <w:szCs w:val="24"/>
                <w:u w:color="31849B"/>
                <w:lang w:val="en-US"/>
              </w:rPr>
            </w:pPr>
            <w:r w:rsidRPr="00443C3C">
              <w:rPr>
                <w:rFonts w:ascii="Arial" w:hAnsi="Arial" w:cs="Arial"/>
                <w:b/>
                <w:color w:val="auto"/>
                <w:szCs w:val="24"/>
                <w:u w:color="31849B"/>
                <w:lang w:val="en-US"/>
              </w:rPr>
              <w:t>48</w:t>
            </w:r>
          </w:p>
        </w:tc>
        <w:tc>
          <w:tcPr>
            <w:tcW w:w="8106" w:type="dxa"/>
            <w:shd w:val="clear" w:color="auto" w:fill="D2EAF1"/>
            <w:tcMar>
              <w:top w:w="80" w:type="dxa"/>
              <w:left w:w="0" w:type="dxa"/>
              <w:bottom w:w="80" w:type="dxa"/>
              <w:right w:w="0" w:type="dxa"/>
            </w:tcMar>
          </w:tcPr>
          <w:p w:rsidR="00230238" w:rsidRPr="00443C3C" w:rsidRDefault="00230238" w:rsidP="00443C3C">
            <w:pPr>
              <w:pStyle w:val="Body1"/>
              <w:rPr>
                <w:rFonts w:ascii="Arial" w:hAnsi="Arial" w:cs="Arial"/>
                <w:color w:val="auto"/>
                <w:szCs w:val="24"/>
                <w:u w:color="31849B"/>
                <w:lang w:val="en-US"/>
              </w:rPr>
            </w:pPr>
            <w:r w:rsidRPr="00443C3C">
              <w:rPr>
                <w:rFonts w:ascii="Arial" w:hAnsi="Arial" w:cs="Arial"/>
                <w:color w:val="auto"/>
                <w:szCs w:val="24"/>
                <w:u w:color="31849B"/>
                <w:lang w:val="en-US"/>
              </w:rPr>
              <w:t xml:space="preserve">Number of people who received new funding for </w:t>
            </w:r>
            <w:r w:rsidRPr="00443C3C">
              <w:rPr>
                <w:rFonts w:ascii="Arial" w:hAnsi="Arial" w:cs="Arial"/>
                <w:b/>
                <w:color w:val="auto"/>
                <w:szCs w:val="24"/>
                <w:u w:color="31849B"/>
                <w:lang w:val="en-US"/>
              </w:rPr>
              <w:t>Accommodation Support</w:t>
            </w:r>
            <w:r w:rsidRPr="00443C3C">
              <w:rPr>
                <w:rFonts w:ascii="Arial" w:hAnsi="Arial" w:cs="Arial"/>
                <w:color w:val="auto"/>
                <w:szCs w:val="24"/>
                <w:u w:color="31849B"/>
                <w:lang w:val="en-US"/>
              </w:rPr>
              <w:t xml:space="preserve"> for individuals with high support needs living with their families </w:t>
            </w:r>
          </w:p>
        </w:tc>
      </w:tr>
      <w:tr w:rsidR="00443C3C" w:rsidRPr="00443C3C" w:rsidTr="000730C3">
        <w:trPr>
          <w:cantSplit/>
          <w:trHeight w:val="340"/>
        </w:trPr>
        <w:tc>
          <w:tcPr>
            <w:tcW w:w="1685" w:type="dxa"/>
            <w:shd w:val="clear" w:color="auto" w:fill="FFFFFF"/>
            <w:tcMar>
              <w:top w:w="80" w:type="dxa"/>
              <w:left w:w="0" w:type="dxa"/>
              <w:bottom w:w="80" w:type="dxa"/>
              <w:right w:w="0" w:type="dxa"/>
            </w:tcMar>
          </w:tcPr>
          <w:p w:rsidR="00230238" w:rsidRPr="00443C3C" w:rsidRDefault="00230238" w:rsidP="00443C3C">
            <w:pPr>
              <w:pStyle w:val="Body1"/>
              <w:rPr>
                <w:rFonts w:ascii="Arial" w:hAnsi="Arial" w:cs="Arial"/>
                <w:b/>
                <w:color w:val="auto"/>
                <w:szCs w:val="24"/>
                <w:u w:color="31849B"/>
                <w:lang w:val="en-US"/>
              </w:rPr>
            </w:pPr>
            <w:r w:rsidRPr="00443C3C">
              <w:rPr>
                <w:rFonts w:ascii="Arial" w:hAnsi="Arial" w:cs="Arial"/>
                <w:b/>
                <w:color w:val="auto"/>
                <w:szCs w:val="24"/>
                <w:u w:color="31849B"/>
                <w:lang w:val="en-US"/>
              </w:rPr>
              <w:t>45</w:t>
            </w:r>
          </w:p>
        </w:tc>
        <w:tc>
          <w:tcPr>
            <w:tcW w:w="8106" w:type="dxa"/>
            <w:shd w:val="clear" w:color="auto" w:fill="FFFFFF"/>
            <w:tcMar>
              <w:top w:w="80" w:type="dxa"/>
              <w:left w:w="0" w:type="dxa"/>
              <w:bottom w:w="80" w:type="dxa"/>
              <w:right w:w="0" w:type="dxa"/>
            </w:tcMar>
          </w:tcPr>
          <w:p w:rsidR="00230238" w:rsidRPr="00443C3C" w:rsidRDefault="00230238" w:rsidP="00443C3C">
            <w:pPr>
              <w:pStyle w:val="Body1"/>
              <w:rPr>
                <w:rFonts w:ascii="Arial" w:hAnsi="Arial" w:cs="Arial"/>
                <w:b/>
                <w:color w:val="auto"/>
                <w:szCs w:val="24"/>
                <w:u w:color="31849B"/>
                <w:lang w:val="en-US"/>
              </w:rPr>
            </w:pPr>
            <w:r w:rsidRPr="00443C3C">
              <w:rPr>
                <w:rFonts w:ascii="Arial" w:hAnsi="Arial" w:cs="Arial"/>
                <w:color w:val="auto"/>
                <w:szCs w:val="24"/>
                <w:u w:color="31849B"/>
                <w:lang w:val="en-US"/>
              </w:rPr>
              <w:t xml:space="preserve">Number of people who received new funding for </w:t>
            </w:r>
            <w:r w:rsidRPr="00443C3C">
              <w:rPr>
                <w:rFonts w:ascii="Arial" w:hAnsi="Arial" w:cs="Arial"/>
                <w:b/>
                <w:color w:val="auto"/>
                <w:szCs w:val="24"/>
                <w:u w:color="31849B"/>
                <w:lang w:val="en-US"/>
              </w:rPr>
              <w:t xml:space="preserve">Individual Family Support </w:t>
            </w:r>
          </w:p>
        </w:tc>
      </w:tr>
      <w:tr w:rsidR="00443C3C" w:rsidRPr="00443C3C" w:rsidTr="000730C3">
        <w:trPr>
          <w:cantSplit/>
          <w:trHeight w:val="340"/>
        </w:trPr>
        <w:tc>
          <w:tcPr>
            <w:tcW w:w="1685" w:type="dxa"/>
            <w:shd w:val="clear" w:color="auto" w:fill="D2EAF1"/>
            <w:tcMar>
              <w:top w:w="80" w:type="dxa"/>
              <w:left w:w="0" w:type="dxa"/>
              <w:bottom w:w="80" w:type="dxa"/>
              <w:right w:w="0" w:type="dxa"/>
            </w:tcMar>
          </w:tcPr>
          <w:p w:rsidR="00230238" w:rsidRPr="00443C3C" w:rsidRDefault="00230238" w:rsidP="00443C3C">
            <w:pPr>
              <w:pStyle w:val="Body1"/>
              <w:rPr>
                <w:rFonts w:ascii="Arial" w:hAnsi="Arial" w:cs="Arial"/>
                <w:b/>
                <w:color w:val="auto"/>
                <w:szCs w:val="24"/>
                <w:u w:color="31849B"/>
                <w:lang w:val="en-US"/>
              </w:rPr>
            </w:pPr>
            <w:r w:rsidRPr="00443C3C">
              <w:rPr>
                <w:rFonts w:ascii="Arial" w:hAnsi="Arial" w:cs="Arial"/>
                <w:b/>
                <w:color w:val="auto"/>
                <w:szCs w:val="24"/>
                <w:u w:color="31849B"/>
                <w:lang w:val="en-US"/>
              </w:rPr>
              <w:t>53</w:t>
            </w:r>
          </w:p>
        </w:tc>
        <w:tc>
          <w:tcPr>
            <w:tcW w:w="8106" w:type="dxa"/>
            <w:shd w:val="clear" w:color="auto" w:fill="D2EAF1"/>
            <w:tcMar>
              <w:top w:w="80" w:type="dxa"/>
              <w:left w:w="0" w:type="dxa"/>
              <w:bottom w:w="80" w:type="dxa"/>
              <w:right w:w="0" w:type="dxa"/>
            </w:tcMar>
          </w:tcPr>
          <w:p w:rsidR="00230238" w:rsidRPr="00443C3C" w:rsidRDefault="00230238" w:rsidP="00443C3C">
            <w:pPr>
              <w:pStyle w:val="Body1"/>
              <w:rPr>
                <w:rFonts w:ascii="Arial" w:hAnsi="Arial" w:cs="Arial"/>
                <w:b/>
                <w:color w:val="auto"/>
                <w:szCs w:val="24"/>
                <w:u w:color="31849B"/>
                <w:lang w:val="en-US"/>
              </w:rPr>
            </w:pPr>
            <w:r w:rsidRPr="00443C3C">
              <w:rPr>
                <w:rFonts w:ascii="Arial" w:hAnsi="Arial" w:cs="Arial"/>
                <w:color w:val="auto"/>
                <w:szCs w:val="24"/>
                <w:u w:color="31849B"/>
                <w:lang w:val="en-US"/>
              </w:rPr>
              <w:t xml:space="preserve">Number of people who received new funding for </w:t>
            </w:r>
            <w:r w:rsidRPr="00443C3C">
              <w:rPr>
                <w:rFonts w:ascii="Arial" w:hAnsi="Arial" w:cs="Arial"/>
                <w:b/>
                <w:color w:val="auto"/>
                <w:szCs w:val="24"/>
                <w:u w:color="31849B"/>
                <w:lang w:val="en-US"/>
              </w:rPr>
              <w:t>Alternatives to Employment</w:t>
            </w:r>
          </w:p>
        </w:tc>
      </w:tr>
      <w:tr w:rsidR="00443C3C" w:rsidRPr="00443C3C" w:rsidTr="000730C3">
        <w:trPr>
          <w:cantSplit/>
          <w:trHeight w:val="340"/>
        </w:trPr>
        <w:tc>
          <w:tcPr>
            <w:tcW w:w="1685" w:type="dxa"/>
            <w:shd w:val="clear" w:color="auto" w:fill="FFFFFF"/>
            <w:tcMar>
              <w:top w:w="80" w:type="dxa"/>
              <w:left w:w="0" w:type="dxa"/>
              <w:bottom w:w="80" w:type="dxa"/>
              <w:right w:w="0" w:type="dxa"/>
            </w:tcMar>
          </w:tcPr>
          <w:p w:rsidR="00230238" w:rsidRPr="00015EE3" w:rsidRDefault="00230238" w:rsidP="00443C3C">
            <w:pPr>
              <w:pStyle w:val="Body1"/>
              <w:rPr>
                <w:rFonts w:ascii="Arial" w:hAnsi="Arial" w:cs="Arial"/>
                <w:b/>
                <w:color w:val="auto"/>
                <w:szCs w:val="24"/>
                <w:u w:color="31849B"/>
                <w:lang w:val="en-US"/>
              </w:rPr>
            </w:pPr>
            <w:r w:rsidRPr="00015EE3">
              <w:rPr>
                <w:rFonts w:ascii="Arial" w:hAnsi="Arial" w:cs="Arial"/>
                <w:b/>
                <w:color w:val="auto"/>
                <w:szCs w:val="24"/>
                <w:u w:color="31849B"/>
                <w:lang w:val="en-US"/>
              </w:rPr>
              <w:t>25</w:t>
            </w:r>
          </w:p>
        </w:tc>
        <w:tc>
          <w:tcPr>
            <w:tcW w:w="8106" w:type="dxa"/>
            <w:shd w:val="clear" w:color="auto" w:fill="FFFFFF"/>
            <w:tcMar>
              <w:top w:w="80" w:type="dxa"/>
              <w:left w:w="0" w:type="dxa"/>
              <w:bottom w:w="80" w:type="dxa"/>
              <w:right w:w="0" w:type="dxa"/>
            </w:tcMar>
          </w:tcPr>
          <w:p w:rsidR="00230238" w:rsidRPr="00015EE3" w:rsidRDefault="00230238" w:rsidP="00443C3C">
            <w:pPr>
              <w:pStyle w:val="Body1"/>
              <w:rPr>
                <w:rFonts w:ascii="Arial" w:hAnsi="Arial" w:cs="Arial"/>
                <w:color w:val="auto"/>
                <w:szCs w:val="24"/>
                <w:u w:color="31849B"/>
              </w:rPr>
            </w:pPr>
            <w:r w:rsidRPr="00015EE3">
              <w:rPr>
                <w:rFonts w:ascii="Arial" w:hAnsi="Arial" w:cs="Arial"/>
                <w:color w:val="auto"/>
                <w:szCs w:val="24"/>
                <w:u w:color="31849B"/>
                <w:lang w:val="en-US"/>
              </w:rPr>
              <w:t xml:space="preserve">Number of people who received more funding for </w:t>
            </w:r>
            <w:r w:rsidRPr="00015EE3">
              <w:rPr>
                <w:rFonts w:ascii="Arial" w:hAnsi="Arial" w:cs="Arial"/>
                <w:b/>
                <w:color w:val="auto"/>
                <w:szCs w:val="24"/>
                <w:u w:color="31849B"/>
              </w:rPr>
              <w:t>increased supports,</w:t>
            </w:r>
            <w:r w:rsidRPr="00015EE3">
              <w:rPr>
                <w:rFonts w:ascii="Arial" w:hAnsi="Arial" w:cs="Arial"/>
                <w:color w:val="auto"/>
                <w:szCs w:val="24"/>
                <w:u w:color="31849B"/>
              </w:rPr>
              <w:t xml:space="preserve"> due to their needs changing and becoming more complex over time </w:t>
            </w:r>
          </w:p>
        </w:tc>
      </w:tr>
      <w:tr w:rsidR="00443C3C" w:rsidRPr="00443C3C" w:rsidTr="000730C3">
        <w:trPr>
          <w:cantSplit/>
          <w:trHeight w:val="340"/>
        </w:trPr>
        <w:tc>
          <w:tcPr>
            <w:tcW w:w="1685" w:type="dxa"/>
            <w:shd w:val="clear" w:color="auto" w:fill="D2EAF1"/>
            <w:tcMar>
              <w:top w:w="80" w:type="dxa"/>
              <w:left w:w="0" w:type="dxa"/>
              <w:bottom w:w="80" w:type="dxa"/>
              <w:right w:w="0" w:type="dxa"/>
            </w:tcMar>
          </w:tcPr>
          <w:p w:rsidR="00230238" w:rsidRPr="00015EE3" w:rsidRDefault="00230238" w:rsidP="00443C3C">
            <w:pPr>
              <w:pStyle w:val="Body1"/>
              <w:rPr>
                <w:rFonts w:ascii="Arial" w:hAnsi="Arial" w:cs="Arial"/>
                <w:b/>
                <w:color w:val="auto"/>
                <w:szCs w:val="24"/>
                <w:u w:color="31849B"/>
                <w:lang w:val="en-US"/>
              </w:rPr>
            </w:pPr>
            <w:r w:rsidRPr="00015EE3">
              <w:rPr>
                <w:rFonts w:ascii="Arial" w:hAnsi="Arial" w:cs="Arial"/>
                <w:b/>
                <w:color w:val="auto"/>
                <w:szCs w:val="24"/>
                <w:u w:color="31849B"/>
                <w:lang w:val="en-US"/>
              </w:rPr>
              <w:t>5,484</w:t>
            </w:r>
          </w:p>
        </w:tc>
        <w:tc>
          <w:tcPr>
            <w:tcW w:w="8106" w:type="dxa"/>
            <w:shd w:val="clear" w:color="auto" w:fill="D2EAF1"/>
            <w:tcMar>
              <w:top w:w="80" w:type="dxa"/>
              <w:left w:w="0" w:type="dxa"/>
              <w:bottom w:w="80" w:type="dxa"/>
              <w:right w:w="0" w:type="dxa"/>
            </w:tcMar>
          </w:tcPr>
          <w:p w:rsidR="00230238" w:rsidRPr="00015EE3" w:rsidRDefault="00230238" w:rsidP="00015EE3">
            <w:pPr>
              <w:pStyle w:val="Body1"/>
              <w:rPr>
                <w:rFonts w:ascii="Arial" w:hAnsi="Arial" w:cs="Arial"/>
                <w:b/>
                <w:color w:val="auto"/>
                <w:szCs w:val="24"/>
                <w:u w:color="31849B"/>
                <w:lang w:val="en-US"/>
              </w:rPr>
            </w:pPr>
            <w:r w:rsidRPr="00015EE3">
              <w:rPr>
                <w:rFonts w:ascii="Arial" w:hAnsi="Arial" w:cs="Arial"/>
                <w:color w:val="auto"/>
                <w:szCs w:val="24"/>
                <w:u w:color="31849B"/>
                <w:lang w:val="en-US"/>
              </w:rPr>
              <w:t>Number of people who received</w:t>
            </w:r>
            <w:r w:rsidR="00015EE3" w:rsidRPr="00015EE3">
              <w:rPr>
                <w:rFonts w:ascii="Arial" w:hAnsi="Arial" w:cs="Arial"/>
                <w:color w:val="auto"/>
                <w:szCs w:val="24"/>
                <w:u w:color="31849B"/>
                <w:lang w:val="en-US"/>
              </w:rPr>
              <w:t xml:space="preserve"> new</w:t>
            </w:r>
            <w:r w:rsidR="0031235A" w:rsidRPr="00015EE3">
              <w:rPr>
                <w:rFonts w:ascii="Arial" w:hAnsi="Arial" w:cs="Arial"/>
                <w:color w:val="auto"/>
                <w:szCs w:val="24"/>
                <w:u w:color="31849B"/>
                <w:lang w:val="en-US"/>
              </w:rPr>
              <w:t xml:space="preserve"> </w:t>
            </w:r>
            <w:r w:rsidRPr="00015EE3">
              <w:rPr>
                <w:rFonts w:ascii="Arial" w:hAnsi="Arial" w:cs="Arial"/>
                <w:color w:val="auto"/>
                <w:szCs w:val="24"/>
                <w:u w:color="31849B"/>
                <w:lang w:val="en-US"/>
              </w:rPr>
              <w:t xml:space="preserve">funding for </w:t>
            </w:r>
            <w:r w:rsidRPr="00015EE3">
              <w:rPr>
                <w:rFonts w:ascii="Arial" w:hAnsi="Arial" w:cs="Arial"/>
                <w:b/>
                <w:color w:val="auto"/>
                <w:szCs w:val="24"/>
                <w:u w:color="31849B"/>
                <w:lang w:val="en-US"/>
              </w:rPr>
              <w:t>Aids and Equipment</w:t>
            </w:r>
          </w:p>
        </w:tc>
      </w:tr>
      <w:tr w:rsidR="00443C3C" w:rsidRPr="00443C3C" w:rsidTr="000730C3">
        <w:trPr>
          <w:cantSplit/>
          <w:trHeight w:val="340"/>
        </w:trPr>
        <w:tc>
          <w:tcPr>
            <w:tcW w:w="1685" w:type="dxa"/>
            <w:shd w:val="clear" w:color="auto" w:fill="FFFFFF"/>
            <w:tcMar>
              <w:top w:w="80" w:type="dxa"/>
              <w:left w:w="0" w:type="dxa"/>
              <w:bottom w:w="80" w:type="dxa"/>
              <w:right w:w="0" w:type="dxa"/>
            </w:tcMar>
          </w:tcPr>
          <w:p w:rsidR="00230238" w:rsidRPr="00443C3C" w:rsidRDefault="00230238" w:rsidP="00443C3C">
            <w:pPr>
              <w:pStyle w:val="Body1"/>
              <w:rPr>
                <w:rFonts w:ascii="Arial" w:hAnsi="Arial" w:cs="Arial"/>
                <w:b/>
                <w:color w:val="auto"/>
                <w:szCs w:val="24"/>
                <w:u w:color="31849B"/>
                <w:lang w:val="en-US"/>
              </w:rPr>
            </w:pPr>
            <w:r w:rsidRPr="00443C3C">
              <w:rPr>
                <w:rFonts w:ascii="Arial" w:hAnsi="Arial" w:cs="Arial"/>
                <w:b/>
                <w:color w:val="auto"/>
                <w:szCs w:val="24"/>
                <w:u w:color="31849B"/>
                <w:lang w:val="en-US"/>
              </w:rPr>
              <w:t>NA</w:t>
            </w:r>
          </w:p>
        </w:tc>
        <w:tc>
          <w:tcPr>
            <w:tcW w:w="8106" w:type="dxa"/>
            <w:shd w:val="clear" w:color="auto" w:fill="FFFFFF"/>
            <w:tcMar>
              <w:top w:w="80" w:type="dxa"/>
              <w:left w:w="0" w:type="dxa"/>
              <w:bottom w:w="80" w:type="dxa"/>
              <w:right w:w="0" w:type="dxa"/>
            </w:tcMar>
          </w:tcPr>
          <w:p w:rsidR="00230238" w:rsidRDefault="00230238" w:rsidP="00443C3C">
            <w:pPr>
              <w:pStyle w:val="Body1"/>
              <w:rPr>
                <w:rFonts w:ascii="Arial" w:hAnsi="Arial" w:cs="Arial"/>
                <w:color w:val="auto"/>
                <w:szCs w:val="24"/>
                <w:u w:color="31849B"/>
                <w:lang w:val="en-US"/>
              </w:rPr>
            </w:pPr>
            <w:r w:rsidRPr="00443C3C">
              <w:rPr>
                <w:rFonts w:ascii="Arial" w:hAnsi="Arial" w:cs="Arial"/>
                <w:color w:val="auto"/>
                <w:szCs w:val="24"/>
                <w:u w:color="31849B"/>
                <w:lang w:val="en-US"/>
              </w:rPr>
              <w:t>Number of people who received</w:t>
            </w:r>
            <w:r w:rsidR="00E2762A">
              <w:rPr>
                <w:rFonts w:ascii="Arial" w:hAnsi="Arial" w:cs="Arial"/>
                <w:color w:val="auto"/>
                <w:szCs w:val="24"/>
                <w:u w:color="31849B"/>
                <w:lang w:val="en-US"/>
              </w:rPr>
              <w:t xml:space="preserve"> new</w:t>
            </w:r>
            <w:r w:rsidRPr="00443C3C">
              <w:rPr>
                <w:rFonts w:ascii="Arial" w:hAnsi="Arial" w:cs="Arial"/>
                <w:color w:val="auto"/>
                <w:szCs w:val="24"/>
                <w:u w:color="31849B"/>
                <w:lang w:val="en-US"/>
              </w:rPr>
              <w:t xml:space="preserve"> funding for </w:t>
            </w:r>
            <w:r w:rsidRPr="00443C3C">
              <w:rPr>
                <w:rFonts w:ascii="Arial" w:hAnsi="Arial" w:cs="Arial"/>
                <w:b/>
                <w:color w:val="auto"/>
                <w:szCs w:val="24"/>
                <w:u w:color="31849B"/>
                <w:lang w:val="en-US"/>
              </w:rPr>
              <w:t xml:space="preserve">Post School Options </w:t>
            </w:r>
            <w:r w:rsidRPr="008F05B3">
              <w:rPr>
                <w:rFonts w:ascii="Arial" w:hAnsi="Arial" w:cs="Arial"/>
                <w:color w:val="auto"/>
                <w:szCs w:val="24"/>
                <w:u w:color="31849B"/>
                <w:lang w:val="en-US"/>
              </w:rPr>
              <w:t>(See note below.)</w:t>
            </w:r>
          </w:p>
          <w:p w:rsidR="006E5227" w:rsidRPr="00443C3C" w:rsidRDefault="006E5227" w:rsidP="00443C3C">
            <w:pPr>
              <w:pStyle w:val="Body1"/>
              <w:rPr>
                <w:rFonts w:ascii="Arial" w:hAnsi="Arial" w:cs="Arial"/>
                <w:b/>
                <w:color w:val="auto"/>
                <w:szCs w:val="24"/>
                <w:u w:color="31849B"/>
                <w:lang w:val="en-US"/>
              </w:rPr>
            </w:pPr>
          </w:p>
        </w:tc>
      </w:tr>
      <w:tr w:rsidR="00443C3C" w:rsidRPr="00443C3C" w:rsidTr="000730C3">
        <w:trPr>
          <w:cantSplit/>
          <w:trHeight w:val="340"/>
        </w:trPr>
        <w:tc>
          <w:tcPr>
            <w:tcW w:w="1685" w:type="dxa"/>
            <w:shd w:val="clear" w:color="auto" w:fill="D2EAF1"/>
            <w:tcMar>
              <w:top w:w="80" w:type="dxa"/>
              <w:left w:w="0" w:type="dxa"/>
              <w:bottom w:w="80" w:type="dxa"/>
              <w:right w:w="0" w:type="dxa"/>
            </w:tcMar>
          </w:tcPr>
          <w:p w:rsidR="00230238" w:rsidRPr="00443C3C" w:rsidRDefault="00230238" w:rsidP="00443C3C">
            <w:pPr>
              <w:pStyle w:val="Body1"/>
              <w:rPr>
                <w:rFonts w:ascii="Arial" w:hAnsi="Arial" w:cs="Arial"/>
                <w:b/>
                <w:color w:val="auto"/>
                <w:szCs w:val="24"/>
                <w:u w:color="31849B"/>
                <w:lang w:val="en-US"/>
              </w:rPr>
            </w:pPr>
            <w:r w:rsidRPr="00443C3C">
              <w:rPr>
                <w:rFonts w:ascii="Arial" w:hAnsi="Arial" w:cs="Arial"/>
                <w:b/>
                <w:color w:val="auto"/>
                <w:szCs w:val="24"/>
                <w:u w:color="31849B"/>
                <w:lang w:val="en-US"/>
              </w:rPr>
              <w:t>35</w:t>
            </w:r>
          </w:p>
        </w:tc>
        <w:tc>
          <w:tcPr>
            <w:tcW w:w="8106" w:type="dxa"/>
            <w:shd w:val="clear" w:color="auto" w:fill="D2EAF1"/>
            <w:tcMar>
              <w:top w:w="80" w:type="dxa"/>
              <w:left w:w="0" w:type="dxa"/>
              <w:bottom w:w="80" w:type="dxa"/>
              <w:right w:w="0" w:type="dxa"/>
            </w:tcMar>
          </w:tcPr>
          <w:p w:rsidR="00230238" w:rsidRPr="00443C3C" w:rsidRDefault="00230238" w:rsidP="0031235A">
            <w:pPr>
              <w:pStyle w:val="Body1"/>
              <w:rPr>
                <w:rFonts w:ascii="Arial" w:hAnsi="Arial" w:cs="Arial"/>
                <w:b/>
                <w:color w:val="auto"/>
                <w:szCs w:val="24"/>
                <w:u w:color="31849B"/>
                <w:lang w:val="en-US"/>
              </w:rPr>
            </w:pPr>
            <w:r w:rsidRPr="00443C3C">
              <w:rPr>
                <w:rFonts w:ascii="Arial" w:hAnsi="Arial" w:cs="Arial"/>
                <w:color w:val="auto"/>
                <w:szCs w:val="24"/>
                <w:u w:color="31849B"/>
                <w:lang w:val="en-US"/>
              </w:rPr>
              <w:t xml:space="preserve">Number of people who received </w:t>
            </w:r>
            <w:r w:rsidR="0031235A">
              <w:rPr>
                <w:rFonts w:ascii="Arial" w:hAnsi="Arial" w:cs="Arial"/>
                <w:color w:val="auto"/>
                <w:szCs w:val="24"/>
                <w:u w:color="31849B"/>
                <w:lang w:val="en-US"/>
              </w:rPr>
              <w:t xml:space="preserve">new </w:t>
            </w:r>
            <w:r w:rsidRPr="00443C3C">
              <w:rPr>
                <w:rFonts w:ascii="Arial" w:hAnsi="Arial" w:cs="Arial"/>
                <w:color w:val="auto"/>
                <w:szCs w:val="24"/>
                <w:u w:color="31849B"/>
                <w:lang w:val="en-US"/>
              </w:rPr>
              <w:t xml:space="preserve">funding for the </w:t>
            </w:r>
            <w:r w:rsidRPr="00443C3C">
              <w:rPr>
                <w:rFonts w:ascii="Arial" w:hAnsi="Arial" w:cs="Arial"/>
                <w:b/>
                <w:color w:val="auto"/>
                <w:szCs w:val="24"/>
                <w:u w:color="31849B"/>
                <w:lang w:val="en-US"/>
              </w:rPr>
              <w:t>Community Living Initiative</w:t>
            </w:r>
          </w:p>
        </w:tc>
      </w:tr>
      <w:tr w:rsidR="00443C3C" w:rsidRPr="00443C3C" w:rsidTr="000730C3">
        <w:trPr>
          <w:cantSplit/>
          <w:trHeight w:val="340"/>
        </w:trPr>
        <w:tc>
          <w:tcPr>
            <w:tcW w:w="1685" w:type="dxa"/>
            <w:shd w:val="clear" w:color="auto" w:fill="FFFFFF"/>
            <w:tcMar>
              <w:top w:w="80" w:type="dxa"/>
              <w:left w:w="0" w:type="dxa"/>
              <w:bottom w:w="80" w:type="dxa"/>
              <w:right w:w="0" w:type="dxa"/>
            </w:tcMar>
          </w:tcPr>
          <w:p w:rsidR="00230238" w:rsidRPr="00443C3C" w:rsidRDefault="00230238" w:rsidP="00443C3C">
            <w:pPr>
              <w:pStyle w:val="Body1"/>
              <w:rPr>
                <w:rFonts w:ascii="Arial" w:hAnsi="Arial" w:cs="Arial"/>
                <w:b/>
                <w:color w:val="auto"/>
                <w:szCs w:val="24"/>
                <w:u w:color="31849B"/>
                <w:lang w:val="en-US"/>
              </w:rPr>
            </w:pPr>
            <w:r w:rsidRPr="00443C3C">
              <w:rPr>
                <w:rFonts w:ascii="Arial" w:hAnsi="Arial" w:cs="Arial"/>
                <w:b/>
                <w:color w:val="auto"/>
                <w:szCs w:val="24"/>
                <w:u w:color="31849B"/>
                <w:lang w:val="en-US"/>
              </w:rPr>
              <w:t>85</w:t>
            </w:r>
          </w:p>
        </w:tc>
        <w:tc>
          <w:tcPr>
            <w:tcW w:w="8106" w:type="dxa"/>
            <w:shd w:val="clear" w:color="auto" w:fill="FFFFFF"/>
            <w:tcMar>
              <w:top w:w="80" w:type="dxa"/>
              <w:left w:w="0" w:type="dxa"/>
              <w:bottom w:w="80" w:type="dxa"/>
              <w:right w:w="0" w:type="dxa"/>
            </w:tcMar>
          </w:tcPr>
          <w:p w:rsidR="00230238" w:rsidRPr="00443C3C" w:rsidRDefault="00230238" w:rsidP="00443C3C">
            <w:pPr>
              <w:pStyle w:val="Body1"/>
              <w:rPr>
                <w:rFonts w:ascii="Arial" w:hAnsi="Arial" w:cs="Arial"/>
                <w:b/>
                <w:color w:val="auto"/>
                <w:szCs w:val="24"/>
                <w:u w:color="31849B"/>
                <w:lang w:val="en-US"/>
              </w:rPr>
            </w:pPr>
            <w:r w:rsidRPr="00443C3C">
              <w:rPr>
                <w:rFonts w:ascii="Arial" w:hAnsi="Arial" w:cs="Arial"/>
                <w:color w:val="auto"/>
                <w:szCs w:val="24"/>
                <w:u w:color="31849B"/>
                <w:lang w:val="en-US"/>
              </w:rPr>
              <w:t xml:space="preserve">Number of people who received </w:t>
            </w:r>
            <w:r w:rsidR="00E2762A">
              <w:rPr>
                <w:rFonts w:ascii="Arial" w:hAnsi="Arial" w:cs="Arial"/>
                <w:color w:val="auto"/>
                <w:szCs w:val="24"/>
                <w:u w:color="31849B"/>
                <w:lang w:val="en-US"/>
              </w:rPr>
              <w:t xml:space="preserve">new </w:t>
            </w:r>
            <w:r w:rsidRPr="00443C3C">
              <w:rPr>
                <w:rFonts w:ascii="Arial" w:hAnsi="Arial" w:cs="Arial"/>
                <w:color w:val="auto"/>
                <w:szCs w:val="24"/>
                <w:u w:color="31849B"/>
                <w:lang w:val="en-US"/>
              </w:rPr>
              <w:t xml:space="preserve">funding for the </w:t>
            </w:r>
            <w:r w:rsidRPr="00443C3C">
              <w:rPr>
                <w:rFonts w:ascii="Arial" w:hAnsi="Arial" w:cs="Arial"/>
                <w:b/>
                <w:color w:val="auto"/>
                <w:szCs w:val="24"/>
                <w:u w:color="31849B"/>
                <w:lang w:val="en-US"/>
              </w:rPr>
              <w:t>Family Living Initiative</w:t>
            </w:r>
          </w:p>
        </w:tc>
      </w:tr>
      <w:tr w:rsidR="00443C3C" w:rsidRPr="00443C3C" w:rsidTr="000730C3">
        <w:trPr>
          <w:cantSplit/>
          <w:trHeight w:val="340"/>
        </w:trPr>
        <w:tc>
          <w:tcPr>
            <w:tcW w:w="1685" w:type="dxa"/>
            <w:shd w:val="clear" w:color="auto" w:fill="FFFFFF"/>
            <w:tcMar>
              <w:top w:w="80" w:type="dxa"/>
              <w:left w:w="0" w:type="dxa"/>
              <w:bottom w:w="80" w:type="dxa"/>
              <w:right w:w="0" w:type="dxa"/>
            </w:tcMar>
          </w:tcPr>
          <w:p w:rsidR="00230238" w:rsidRPr="00443C3C" w:rsidRDefault="00230238" w:rsidP="00443C3C">
            <w:pPr>
              <w:pStyle w:val="Body1"/>
              <w:rPr>
                <w:rFonts w:ascii="Arial" w:hAnsi="Arial" w:cs="Arial"/>
                <w:b/>
                <w:color w:val="auto"/>
                <w:szCs w:val="24"/>
                <w:u w:color="31849B"/>
                <w:lang w:val="en-US"/>
              </w:rPr>
            </w:pPr>
          </w:p>
          <w:p w:rsidR="00230238" w:rsidRPr="00443C3C" w:rsidRDefault="00230238" w:rsidP="00443C3C">
            <w:pPr>
              <w:pStyle w:val="Body1"/>
              <w:rPr>
                <w:rFonts w:ascii="Arial" w:hAnsi="Arial" w:cs="Arial"/>
                <w:b/>
                <w:color w:val="auto"/>
                <w:szCs w:val="24"/>
                <w:u w:color="31849B"/>
                <w:lang w:val="en-US"/>
              </w:rPr>
            </w:pPr>
            <w:r w:rsidRPr="00443C3C">
              <w:rPr>
                <w:rFonts w:ascii="Arial" w:hAnsi="Arial" w:cs="Arial"/>
                <w:b/>
                <w:color w:val="auto"/>
                <w:szCs w:val="24"/>
                <w:u w:color="31849B"/>
                <w:lang w:val="en-US"/>
              </w:rPr>
              <w:t>$32,259,441</w:t>
            </w:r>
          </w:p>
        </w:tc>
        <w:tc>
          <w:tcPr>
            <w:tcW w:w="8106" w:type="dxa"/>
            <w:shd w:val="clear" w:color="auto" w:fill="FFFFFF"/>
            <w:tcMar>
              <w:top w:w="80" w:type="dxa"/>
              <w:left w:w="0" w:type="dxa"/>
              <w:bottom w:w="80" w:type="dxa"/>
              <w:right w:w="0" w:type="dxa"/>
            </w:tcMar>
          </w:tcPr>
          <w:p w:rsidR="00230238" w:rsidRPr="00443C3C" w:rsidRDefault="00230238" w:rsidP="00443C3C">
            <w:pPr>
              <w:pStyle w:val="Body1"/>
              <w:rPr>
                <w:rFonts w:ascii="Arial" w:hAnsi="Arial" w:cs="Arial"/>
                <w:b/>
                <w:color w:val="auto"/>
                <w:szCs w:val="24"/>
                <w:u w:color="31849B"/>
                <w:lang w:val="en-US"/>
              </w:rPr>
            </w:pPr>
          </w:p>
          <w:p w:rsidR="00230238" w:rsidRPr="00443C3C" w:rsidRDefault="00230238" w:rsidP="00443C3C">
            <w:pPr>
              <w:pStyle w:val="Body1"/>
              <w:rPr>
                <w:rFonts w:ascii="Arial" w:hAnsi="Arial" w:cs="Arial"/>
                <w:b/>
                <w:color w:val="auto"/>
                <w:szCs w:val="24"/>
                <w:u w:color="31849B"/>
                <w:lang w:val="en-US"/>
              </w:rPr>
            </w:pPr>
            <w:r w:rsidRPr="00443C3C">
              <w:rPr>
                <w:rFonts w:ascii="Arial" w:hAnsi="Arial" w:cs="Arial"/>
                <w:b/>
                <w:color w:val="auto"/>
                <w:szCs w:val="24"/>
                <w:u w:color="31849B"/>
                <w:lang w:val="en-US"/>
              </w:rPr>
              <w:t>Total funding allocated</w:t>
            </w:r>
          </w:p>
        </w:tc>
      </w:tr>
    </w:tbl>
    <w:p w:rsidR="00230238" w:rsidRPr="00443C3C" w:rsidRDefault="00230238" w:rsidP="00443C3C">
      <w:pPr>
        <w:pStyle w:val="Body1"/>
        <w:rPr>
          <w:rFonts w:ascii="Arial" w:hAnsi="Arial" w:cs="Arial"/>
          <w:b/>
          <w:color w:val="auto"/>
          <w:szCs w:val="24"/>
          <w:u w:color="31849B"/>
          <w:lang w:val="en-US"/>
        </w:rPr>
      </w:pPr>
    </w:p>
    <w:p w:rsidR="00230238" w:rsidRPr="00443C3C" w:rsidRDefault="00230238" w:rsidP="00443C3C">
      <w:pPr>
        <w:pStyle w:val="Body1"/>
        <w:rPr>
          <w:rFonts w:ascii="Arial" w:hAnsi="Arial" w:cs="Arial"/>
          <w:color w:val="auto"/>
          <w:szCs w:val="24"/>
        </w:rPr>
      </w:pPr>
      <w:r w:rsidRPr="008F05B3">
        <w:rPr>
          <w:rFonts w:ascii="Arial" w:hAnsi="Arial" w:cs="Arial"/>
          <w:color w:val="auto"/>
          <w:szCs w:val="24"/>
          <w:lang w:val="en-US"/>
        </w:rPr>
        <w:t xml:space="preserve">Note: </w:t>
      </w:r>
      <w:r w:rsidRPr="008F05B3">
        <w:rPr>
          <w:rFonts w:ascii="Arial" w:hAnsi="Arial" w:cs="Arial"/>
          <w:color w:val="auto"/>
          <w:szCs w:val="24"/>
        </w:rPr>
        <w:t>Allocation of funds to school leavers from the Post School Options program occurs</w:t>
      </w:r>
      <w:r w:rsidRPr="00443C3C">
        <w:rPr>
          <w:rFonts w:ascii="Arial" w:hAnsi="Arial" w:cs="Arial"/>
          <w:color w:val="auto"/>
          <w:szCs w:val="24"/>
        </w:rPr>
        <w:t xml:space="preserve"> annually and data is not available for this edition of the Disability Support Funding Bulletin. It will instead be available in the bulletin scheduled for July 2013.</w:t>
      </w:r>
    </w:p>
    <w:p w:rsidR="00230238" w:rsidRPr="00443C3C" w:rsidRDefault="00230238" w:rsidP="00443C3C">
      <w:pPr>
        <w:pStyle w:val="Body1"/>
        <w:rPr>
          <w:rFonts w:ascii="Arial" w:hAnsi="Arial" w:cs="Arial"/>
          <w:color w:val="auto"/>
          <w:szCs w:val="24"/>
        </w:rPr>
      </w:pPr>
    </w:p>
    <w:p w:rsidR="00230238" w:rsidRPr="00443C3C" w:rsidRDefault="00230238" w:rsidP="00443C3C">
      <w:pPr>
        <w:pStyle w:val="Body1"/>
        <w:rPr>
          <w:rFonts w:ascii="Arial" w:hAnsi="Arial" w:cs="Arial"/>
          <w:color w:val="auto"/>
          <w:szCs w:val="24"/>
        </w:rPr>
      </w:pPr>
    </w:p>
    <w:p w:rsidR="00230238" w:rsidRPr="000730C3" w:rsidRDefault="00152B6D" w:rsidP="00443C3C">
      <w:pPr>
        <w:rPr>
          <w:rFonts w:cs="Arial"/>
          <w:b/>
          <w:sz w:val="28"/>
          <w:szCs w:val="28"/>
        </w:rPr>
      </w:pPr>
      <w:r>
        <w:rPr>
          <w:rFonts w:cs="Arial"/>
          <w:b/>
          <w:sz w:val="28"/>
          <w:szCs w:val="28"/>
        </w:rPr>
        <w:t>Combined Applic</w:t>
      </w:r>
      <w:r w:rsidR="00C516BD">
        <w:rPr>
          <w:rFonts w:cs="Arial"/>
          <w:b/>
          <w:sz w:val="28"/>
          <w:szCs w:val="28"/>
        </w:rPr>
        <w:t xml:space="preserve">ation Process: Trends from 2009 – </w:t>
      </w:r>
      <w:r>
        <w:rPr>
          <w:rFonts w:cs="Arial"/>
          <w:b/>
          <w:sz w:val="28"/>
          <w:szCs w:val="28"/>
        </w:rPr>
        <w:t>10</w:t>
      </w:r>
      <w:r w:rsidR="00C516BD">
        <w:rPr>
          <w:rFonts w:cs="Arial"/>
          <w:b/>
          <w:sz w:val="28"/>
          <w:szCs w:val="28"/>
        </w:rPr>
        <w:t xml:space="preserve"> to 2011 – </w:t>
      </w:r>
      <w:r>
        <w:rPr>
          <w:rFonts w:cs="Arial"/>
          <w:b/>
          <w:sz w:val="28"/>
          <w:szCs w:val="28"/>
        </w:rPr>
        <w:t>12</w:t>
      </w:r>
      <w:r w:rsidR="00C516BD">
        <w:rPr>
          <w:rFonts w:cs="Arial"/>
          <w:b/>
          <w:sz w:val="28"/>
          <w:szCs w:val="28"/>
        </w:rPr>
        <w:t xml:space="preserve"> </w:t>
      </w:r>
    </w:p>
    <w:p w:rsidR="00230238" w:rsidRPr="00443C3C" w:rsidRDefault="00230238" w:rsidP="00443C3C">
      <w:pPr>
        <w:rPr>
          <w:rFonts w:cs="Arial"/>
          <w:spacing w:val="-4"/>
        </w:rPr>
      </w:pPr>
    </w:p>
    <w:p w:rsidR="00230238" w:rsidRPr="006E5227" w:rsidRDefault="007A05F0" w:rsidP="00443C3C">
      <w:pPr>
        <w:rPr>
          <w:rFonts w:cs="Arial"/>
          <w:spacing w:val="-4"/>
        </w:rPr>
      </w:pPr>
      <w:r>
        <w:rPr>
          <w:rFonts w:cs="Arial"/>
          <w:spacing w:val="-4"/>
        </w:rPr>
        <w:t xml:space="preserve">This section provides additional information on the </w:t>
      </w:r>
      <w:r w:rsidR="003F0F42">
        <w:rPr>
          <w:rFonts w:cs="Arial"/>
          <w:spacing w:val="-4"/>
        </w:rPr>
        <w:t>total increase in</w:t>
      </w:r>
      <w:r>
        <w:rPr>
          <w:rFonts w:cs="Arial"/>
          <w:spacing w:val="-4"/>
        </w:rPr>
        <w:t xml:space="preserve"> new funding provided through CAP over the past three years</w:t>
      </w:r>
      <w:r w:rsidR="003F0F42">
        <w:rPr>
          <w:rFonts w:cs="Arial"/>
          <w:spacing w:val="-4"/>
        </w:rPr>
        <w:t>. Between 2009</w:t>
      </w:r>
      <w:r w:rsidR="00BE1B52">
        <w:rPr>
          <w:rFonts w:cs="Arial"/>
          <w:spacing w:val="-4"/>
        </w:rPr>
        <w:t xml:space="preserve"> – </w:t>
      </w:r>
      <w:r w:rsidR="003F0F42">
        <w:rPr>
          <w:rFonts w:cs="Arial"/>
          <w:spacing w:val="-4"/>
        </w:rPr>
        <w:t>10</w:t>
      </w:r>
      <w:r w:rsidR="00BE1B52">
        <w:rPr>
          <w:rFonts w:cs="Arial"/>
          <w:spacing w:val="-4"/>
        </w:rPr>
        <w:t xml:space="preserve"> and 2011 – </w:t>
      </w:r>
      <w:r w:rsidR="003F0F42">
        <w:rPr>
          <w:rFonts w:cs="Arial"/>
          <w:spacing w:val="-4"/>
        </w:rPr>
        <w:t>12</w:t>
      </w:r>
      <w:r w:rsidR="00BE1B52">
        <w:rPr>
          <w:rFonts w:cs="Arial"/>
          <w:spacing w:val="-4"/>
        </w:rPr>
        <w:t xml:space="preserve"> </w:t>
      </w:r>
      <w:r w:rsidR="003F0F42">
        <w:rPr>
          <w:rFonts w:cs="Arial"/>
          <w:spacing w:val="-4"/>
        </w:rPr>
        <w:t>t</w:t>
      </w:r>
      <w:r w:rsidR="00230238" w:rsidRPr="00443C3C">
        <w:rPr>
          <w:rFonts w:cs="Arial"/>
          <w:spacing w:val="-4"/>
        </w:rPr>
        <w:t xml:space="preserve">he Commission allocated </w:t>
      </w:r>
      <w:r w:rsidR="00152B6D">
        <w:rPr>
          <w:rFonts w:cs="Arial"/>
          <w:spacing w:val="-4"/>
        </w:rPr>
        <w:t>new funding of more than</w:t>
      </w:r>
      <w:r w:rsidR="00443C3C">
        <w:rPr>
          <w:rFonts w:cs="Arial"/>
          <w:spacing w:val="-4"/>
        </w:rPr>
        <w:t xml:space="preserve"> </w:t>
      </w:r>
      <w:r w:rsidR="00230238" w:rsidRPr="00443C3C">
        <w:rPr>
          <w:rFonts w:cs="Arial"/>
          <w:spacing w:val="-4"/>
        </w:rPr>
        <w:t>$93 million</w:t>
      </w:r>
      <w:r w:rsidR="00230238" w:rsidRPr="00443C3C">
        <w:rPr>
          <w:rFonts w:cs="Arial"/>
          <w:bCs/>
          <w:spacing w:val="-4"/>
        </w:rPr>
        <w:t xml:space="preserve"> </w:t>
      </w:r>
      <w:r w:rsidR="00230238" w:rsidRPr="00443C3C">
        <w:rPr>
          <w:rFonts w:cs="Arial"/>
          <w:spacing w:val="-4"/>
        </w:rPr>
        <w:t xml:space="preserve">through the </w:t>
      </w:r>
      <w:r w:rsidR="008F05B3">
        <w:rPr>
          <w:rFonts w:cs="Arial"/>
          <w:spacing w:val="-4"/>
        </w:rPr>
        <w:t>CAP</w:t>
      </w:r>
      <w:r w:rsidR="00152B6D">
        <w:rPr>
          <w:rFonts w:cs="Arial"/>
          <w:spacing w:val="-4"/>
        </w:rPr>
        <w:t xml:space="preserve"> for Accommodation Support Funding, Intensive </w:t>
      </w:r>
      <w:r w:rsidR="007B155D">
        <w:rPr>
          <w:rFonts w:cs="Arial"/>
          <w:spacing w:val="-4"/>
        </w:rPr>
        <w:t>Family</w:t>
      </w:r>
      <w:r w:rsidR="00152B6D">
        <w:rPr>
          <w:rFonts w:cs="Arial"/>
          <w:spacing w:val="-4"/>
        </w:rPr>
        <w:t xml:space="preserve"> Support, and Alternatives to Employment</w:t>
      </w:r>
      <w:r w:rsidR="003F0F42">
        <w:rPr>
          <w:rFonts w:cs="Arial"/>
          <w:spacing w:val="-4"/>
        </w:rPr>
        <w:t>. This money wa</w:t>
      </w:r>
      <w:r w:rsidR="00230238" w:rsidRPr="00443C3C">
        <w:rPr>
          <w:rFonts w:cs="Arial"/>
          <w:spacing w:val="-4"/>
        </w:rPr>
        <w:t>s in addition to existing support</w:t>
      </w:r>
      <w:r w:rsidR="00AA229F">
        <w:rPr>
          <w:rFonts w:cs="Arial"/>
          <w:spacing w:val="-4"/>
        </w:rPr>
        <w:t>s provided</w:t>
      </w:r>
      <w:r w:rsidR="00230238" w:rsidRPr="00443C3C">
        <w:rPr>
          <w:rFonts w:cs="Arial"/>
          <w:spacing w:val="-4"/>
        </w:rPr>
        <w:t xml:space="preserve"> through these programs. This funding has allowed </w:t>
      </w:r>
      <w:r w:rsidR="0063364A">
        <w:rPr>
          <w:rFonts w:cs="Arial"/>
          <w:spacing w:val="-4"/>
        </w:rPr>
        <w:t>1,079</w:t>
      </w:r>
      <w:r w:rsidR="003F0F42">
        <w:rPr>
          <w:rFonts w:cs="Arial"/>
          <w:spacing w:val="-4"/>
        </w:rPr>
        <w:t xml:space="preserve"> new individuals </w:t>
      </w:r>
      <w:r w:rsidR="00230238" w:rsidRPr="00443C3C">
        <w:rPr>
          <w:rFonts w:cs="Arial"/>
          <w:spacing w:val="-4"/>
        </w:rPr>
        <w:t xml:space="preserve">to be supported </w:t>
      </w:r>
      <w:r w:rsidR="00B63D36">
        <w:rPr>
          <w:rFonts w:cs="Arial"/>
          <w:spacing w:val="-4"/>
        </w:rPr>
        <w:t>with</w:t>
      </w:r>
      <w:r w:rsidR="00B63D36" w:rsidRPr="0063364A">
        <w:rPr>
          <w:rFonts w:cs="Arial"/>
          <w:spacing w:val="-4"/>
        </w:rPr>
        <w:t xml:space="preserve"> </w:t>
      </w:r>
      <w:r w:rsidR="00230238" w:rsidRPr="0063364A">
        <w:rPr>
          <w:rFonts w:cs="Arial"/>
          <w:spacing w:val="-4"/>
        </w:rPr>
        <w:t xml:space="preserve">a further </w:t>
      </w:r>
      <w:r w:rsidR="0063364A">
        <w:rPr>
          <w:rFonts w:cs="Arial"/>
          <w:spacing w:val="-4"/>
        </w:rPr>
        <w:t>219</w:t>
      </w:r>
      <w:r w:rsidR="00230238" w:rsidRPr="00443C3C">
        <w:rPr>
          <w:rFonts w:cs="Arial"/>
          <w:spacing w:val="-4"/>
        </w:rPr>
        <w:t xml:space="preserve"> receiv</w:t>
      </w:r>
      <w:r w:rsidR="00B63D36">
        <w:rPr>
          <w:rFonts w:cs="Arial"/>
          <w:spacing w:val="-4"/>
        </w:rPr>
        <w:t>ing</w:t>
      </w:r>
      <w:r w:rsidR="00230238" w:rsidRPr="00443C3C">
        <w:rPr>
          <w:rFonts w:cs="Arial"/>
          <w:spacing w:val="-4"/>
        </w:rPr>
        <w:t xml:space="preserve"> an increase to their level of support as their needs change</w:t>
      </w:r>
      <w:r w:rsidR="00935F3A">
        <w:rPr>
          <w:rFonts w:cs="Arial"/>
          <w:spacing w:val="-4"/>
        </w:rPr>
        <w:t>d</w:t>
      </w:r>
      <w:r w:rsidR="00230238" w:rsidRPr="00443C3C">
        <w:rPr>
          <w:rFonts w:cs="Arial"/>
          <w:spacing w:val="-4"/>
        </w:rPr>
        <w:t xml:space="preserve"> and </w:t>
      </w:r>
      <w:r w:rsidR="002D5A6A">
        <w:rPr>
          <w:rFonts w:cs="Arial"/>
          <w:spacing w:val="-4"/>
        </w:rPr>
        <w:t>became</w:t>
      </w:r>
      <w:r w:rsidR="002D5A6A" w:rsidRPr="00443C3C">
        <w:rPr>
          <w:rFonts w:cs="Arial"/>
          <w:spacing w:val="-4"/>
        </w:rPr>
        <w:t xml:space="preserve"> </w:t>
      </w:r>
      <w:r w:rsidR="00230238" w:rsidRPr="00443C3C">
        <w:rPr>
          <w:rFonts w:cs="Arial"/>
          <w:spacing w:val="-4"/>
        </w:rPr>
        <w:t xml:space="preserve">more complex over time. </w:t>
      </w:r>
    </w:p>
    <w:p w:rsidR="00230238" w:rsidRDefault="00230238" w:rsidP="00443C3C">
      <w:pPr>
        <w:rPr>
          <w:rFonts w:cs="Arial"/>
          <w:b/>
          <w:lang w:val="en-US"/>
        </w:rPr>
      </w:pPr>
    </w:p>
    <w:tbl>
      <w:tblPr>
        <w:tblW w:w="9791" w:type="dxa"/>
        <w:shd w:val="clear" w:color="auto" w:fill="FFFFFF"/>
        <w:tblLayout w:type="fixed"/>
        <w:tblLook w:val="0000" w:firstRow="0" w:lastRow="0" w:firstColumn="0" w:lastColumn="0" w:noHBand="0" w:noVBand="0"/>
      </w:tblPr>
      <w:tblGrid>
        <w:gridCol w:w="4678"/>
        <w:gridCol w:w="1704"/>
        <w:gridCol w:w="1704"/>
        <w:gridCol w:w="1705"/>
      </w:tblGrid>
      <w:tr w:rsidR="00DD4F74" w:rsidRPr="00443C3C" w:rsidTr="00C516BD">
        <w:trPr>
          <w:cantSplit/>
          <w:trHeight w:val="340"/>
        </w:trPr>
        <w:tc>
          <w:tcPr>
            <w:tcW w:w="4678" w:type="dxa"/>
            <w:shd w:val="clear" w:color="auto" w:fill="auto"/>
            <w:tcMar>
              <w:top w:w="80" w:type="dxa"/>
              <w:left w:w="0" w:type="dxa"/>
              <w:bottom w:w="80" w:type="dxa"/>
              <w:right w:w="0" w:type="dxa"/>
            </w:tcMar>
          </w:tcPr>
          <w:p w:rsidR="00DD4F74" w:rsidRPr="00DD4F74" w:rsidRDefault="00DD4F74" w:rsidP="00BF2B67">
            <w:pPr>
              <w:pStyle w:val="Body1"/>
              <w:rPr>
                <w:rFonts w:ascii="Arial" w:hAnsi="Arial" w:cs="Arial"/>
                <w:color w:val="auto"/>
                <w:szCs w:val="24"/>
                <w:u w:color="31849B"/>
                <w:lang w:val="en-US"/>
              </w:rPr>
            </w:pPr>
          </w:p>
        </w:tc>
        <w:tc>
          <w:tcPr>
            <w:tcW w:w="1704" w:type="dxa"/>
            <w:shd w:val="clear" w:color="auto" w:fill="auto"/>
            <w:tcMar>
              <w:top w:w="80" w:type="dxa"/>
              <w:left w:w="0" w:type="dxa"/>
              <w:bottom w:w="80" w:type="dxa"/>
              <w:right w:w="0" w:type="dxa"/>
            </w:tcMar>
            <w:vAlign w:val="center"/>
          </w:tcPr>
          <w:p w:rsidR="00DD4F74" w:rsidRPr="00443C3C" w:rsidRDefault="00DD4F74" w:rsidP="00BF2B67">
            <w:pPr>
              <w:rPr>
                <w:rFonts w:cs="Arial"/>
                <w:b/>
                <w:bCs/>
                <w:lang w:val="en-US"/>
              </w:rPr>
            </w:pPr>
            <w:r>
              <w:rPr>
                <w:rFonts w:cs="Arial"/>
                <w:b/>
                <w:bCs/>
                <w:lang w:val="en-US"/>
              </w:rPr>
              <w:t xml:space="preserve">2009 – </w:t>
            </w:r>
            <w:r w:rsidRPr="00443C3C">
              <w:rPr>
                <w:rFonts w:cs="Arial"/>
                <w:b/>
                <w:bCs/>
                <w:lang w:val="en-US"/>
              </w:rPr>
              <w:t>10</w:t>
            </w:r>
            <w:r>
              <w:rPr>
                <w:rFonts w:cs="Arial"/>
                <w:b/>
                <w:bCs/>
                <w:lang w:val="en-US"/>
              </w:rPr>
              <w:t xml:space="preserve"> </w:t>
            </w:r>
          </w:p>
        </w:tc>
        <w:tc>
          <w:tcPr>
            <w:tcW w:w="1704" w:type="dxa"/>
            <w:shd w:val="clear" w:color="auto" w:fill="auto"/>
            <w:vAlign w:val="center"/>
          </w:tcPr>
          <w:p w:rsidR="00DD4F74" w:rsidRPr="00443C3C" w:rsidRDefault="00DD4F74" w:rsidP="00BF2B67">
            <w:pPr>
              <w:rPr>
                <w:rFonts w:cs="Arial"/>
                <w:b/>
                <w:bCs/>
                <w:lang w:val="en-US"/>
              </w:rPr>
            </w:pPr>
            <w:r>
              <w:rPr>
                <w:rFonts w:cs="Arial"/>
                <w:b/>
                <w:bCs/>
                <w:lang w:val="en-US"/>
              </w:rPr>
              <w:t xml:space="preserve">2010 – </w:t>
            </w:r>
            <w:r w:rsidRPr="00443C3C">
              <w:rPr>
                <w:rFonts w:cs="Arial"/>
                <w:b/>
                <w:bCs/>
                <w:lang w:val="en-US"/>
              </w:rPr>
              <w:t>11</w:t>
            </w:r>
            <w:r>
              <w:rPr>
                <w:rFonts w:cs="Arial"/>
                <w:b/>
                <w:bCs/>
                <w:lang w:val="en-US"/>
              </w:rPr>
              <w:t xml:space="preserve"> </w:t>
            </w:r>
          </w:p>
        </w:tc>
        <w:tc>
          <w:tcPr>
            <w:tcW w:w="1705" w:type="dxa"/>
            <w:shd w:val="clear" w:color="auto" w:fill="auto"/>
            <w:vAlign w:val="center"/>
          </w:tcPr>
          <w:p w:rsidR="00DD4F74" w:rsidRPr="00443C3C" w:rsidRDefault="00DD4F74" w:rsidP="00BF2B67">
            <w:pPr>
              <w:rPr>
                <w:rFonts w:cs="Arial"/>
                <w:b/>
                <w:bCs/>
                <w:lang w:val="en-US"/>
              </w:rPr>
            </w:pPr>
            <w:r>
              <w:rPr>
                <w:rFonts w:cs="Arial"/>
                <w:b/>
                <w:bCs/>
                <w:lang w:val="en-US"/>
              </w:rPr>
              <w:t xml:space="preserve">2011 – </w:t>
            </w:r>
            <w:r w:rsidRPr="00443C3C">
              <w:rPr>
                <w:rFonts w:cs="Arial"/>
                <w:b/>
                <w:bCs/>
                <w:lang w:val="en-US"/>
              </w:rPr>
              <w:t>12</w:t>
            </w:r>
            <w:r>
              <w:rPr>
                <w:rFonts w:cs="Arial"/>
                <w:b/>
                <w:bCs/>
                <w:lang w:val="en-US"/>
              </w:rPr>
              <w:t xml:space="preserve"> </w:t>
            </w:r>
          </w:p>
        </w:tc>
      </w:tr>
      <w:tr w:rsidR="00DD4F74" w:rsidRPr="00443C3C" w:rsidTr="00C516BD">
        <w:trPr>
          <w:cantSplit/>
          <w:trHeight w:val="676"/>
        </w:trPr>
        <w:tc>
          <w:tcPr>
            <w:tcW w:w="4678" w:type="dxa"/>
            <w:shd w:val="clear" w:color="auto" w:fill="D2EAF1"/>
            <w:tcMar>
              <w:top w:w="80" w:type="dxa"/>
              <w:left w:w="0" w:type="dxa"/>
              <w:bottom w:w="80" w:type="dxa"/>
              <w:right w:w="0" w:type="dxa"/>
            </w:tcMar>
          </w:tcPr>
          <w:p w:rsidR="00DD4F74" w:rsidRPr="00DD4F74" w:rsidRDefault="00DD4F74" w:rsidP="00BF2B67">
            <w:pPr>
              <w:pStyle w:val="Body1"/>
              <w:rPr>
                <w:rFonts w:ascii="Arial" w:hAnsi="Arial" w:cs="Arial"/>
                <w:color w:val="auto"/>
                <w:szCs w:val="24"/>
                <w:u w:color="31849B"/>
                <w:lang w:val="en-US"/>
              </w:rPr>
            </w:pPr>
            <w:r w:rsidRPr="00DD4F74">
              <w:rPr>
                <w:rFonts w:ascii="Arial" w:hAnsi="Arial" w:cs="Arial"/>
                <w:color w:val="auto"/>
                <w:szCs w:val="24"/>
                <w:u w:color="31849B"/>
                <w:lang w:val="en-US"/>
              </w:rPr>
              <w:t>Total new funding allocated</w:t>
            </w:r>
          </w:p>
        </w:tc>
        <w:tc>
          <w:tcPr>
            <w:tcW w:w="1704" w:type="dxa"/>
            <w:shd w:val="clear" w:color="auto" w:fill="D2EAF1"/>
            <w:tcMar>
              <w:top w:w="80" w:type="dxa"/>
              <w:left w:w="0" w:type="dxa"/>
              <w:bottom w:w="80" w:type="dxa"/>
              <w:right w:w="0" w:type="dxa"/>
            </w:tcMar>
          </w:tcPr>
          <w:p w:rsidR="00DD4F74" w:rsidRPr="00443C3C" w:rsidRDefault="00DD4F74" w:rsidP="00DD4F74">
            <w:pPr>
              <w:rPr>
                <w:rFonts w:cs="Arial"/>
              </w:rPr>
            </w:pPr>
            <w:r w:rsidRPr="00443C3C">
              <w:rPr>
                <w:rFonts w:cs="Arial"/>
              </w:rPr>
              <w:t>$21,087,883</w:t>
            </w:r>
          </w:p>
          <w:p w:rsidR="00DD4F74" w:rsidRPr="00443C3C" w:rsidRDefault="00DD4F74" w:rsidP="00BF2B67">
            <w:pPr>
              <w:pStyle w:val="Body1"/>
              <w:rPr>
                <w:rFonts w:ascii="Arial" w:hAnsi="Arial" w:cs="Arial"/>
                <w:b/>
                <w:color w:val="auto"/>
                <w:szCs w:val="24"/>
                <w:u w:color="31849B"/>
                <w:lang w:val="en-US"/>
              </w:rPr>
            </w:pPr>
          </w:p>
        </w:tc>
        <w:tc>
          <w:tcPr>
            <w:tcW w:w="1704" w:type="dxa"/>
            <w:shd w:val="clear" w:color="auto" w:fill="D2EAF1"/>
          </w:tcPr>
          <w:p w:rsidR="00DD4F74" w:rsidRPr="00443C3C" w:rsidRDefault="00DD4F74" w:rsidP="00BF2B67">
            <w:pPr>
              <w:rPr>
                <w:rFonts w:cs="Arial"/>
              </w:rPr>
            </w:pPr>
            <w:r w:rsidRPr="00443C3C">
              <w:rPr>
                <w:rFonts w:cs="Arial"/>
              </w:rPr>
              <w:t>$32,232,185</w:t>
            </w:r>
          </w:p>
          <w:p w:rsidR="00DD4F74" w:rsidRPr="00443C3C" w:rsidRDefault="00DD4F74" w:rsidP="00BF2B67">
            <w:pPr>
              <w:rPr>
                <w:rFonts w:cs="Arial"/>
                <w:lang w:val="en-US"/>
              </w:rPr>
            </w:pPr>
          </w:p>
        </w:tc>
        <w:tc>
          <w:tcPr>
            <w:tcW w:w="1705" w:type="dxa"/>
            <w:shd w:val="clear" w:color="auto" w:fill="D2EAF1"/>
          </w:tcPr>
          <w:p w:rsidR="00DD4F74" w:rsidRPr="00443C3C" w:rsidRDefault="00DD4F74" w:rsidP="00BF2B67">
            <w:pPr>
              <w:rPr>
                <w:rFonts w:cs="Arial"/>
              </w:rPr>
            </w:pPr>
            <w:r w:rsidRPr="00443C3C">
              <w:rPr>
                <w:rFonts w:cs="Arial"/>
              </w:rPr>
              <w:t>$40,354,958</w:t>
            </w:r>
          </w:p>
          <w:p w:rsidR="00DD4F74" w:rsidRPr="00443C3C" w:rsidRDefault="00DD4F74" w:rsidP="00BF2B67">
            <w:pPr>
              <w:rPr>
                <w:rFonts w:cs="Arial"/>
                <w:lang w:val="en-US"/>
              </w:rPr>
            </w:pPr>
          </w:p>
        </w:tc>
      </w:tr>
      <w:tr w:rsidR="00DD4F74" w:rsidRPr="00443C3C" w:rsidTr="00C516BD">
        <w:trPr>
          <w:cantSplit/>
          <w:trHeight w:val="676"/>
        </w:trPr>
        <w:tc>
          <w:tcPr>
            <w:tcW w:w="4678" w:type="dxa"/>
            <w:shd w:val="clear" w:color="auto" w:fill="FFFFFF"/>
            <w:tcMar>
              <w:top w:w="80" w:type="dxa"/>
              <w:left w:w="0" w:type="dxa"/>
              <w:bottom w:w="80" w:type="dxa"/>
              <w:right w:w="0" w:type="dxa"/>
            </w:tcMar>
          </w:tcPr>
          <w:p w:rsidR="00DD4F74" w:rsidRPr="0021701D" w:rsidRDefault="00DD4F74" w:rsidP="0021701D">
            <w:pPr>
              <w:rPr>
                <w:rFonts w:cs="Arial"/>
                <w:lang w:val="en-US"/>
              </w:rPr>
            </w:pPr>
            <w:r w:rsidRPr="00443C3C">
              <w:rPr>
                <w:rFonts w:cs="Arial"/>
                <w:lang w:val="en-US"/>
              </w:rPr>
              <w:t>Total number of people receiving new funding</w:t>
            </w:r>
          </w:p>
        </w:tc>
        <w:tc>
          <w:tcPr>
            <w:tcW w:w="1704" w:type="dxa"/>
            <w:shd w:val="clear" w:color="auto" w:fill="FFFFFF"/>
            <w:tcMar>
              <w:top w:w="80" w:type="dxa"/>
              <w:left w:w="0" w:type="dxa"/>
              <w:bottom w:w="80" w:type="dxa"/>
              <w:right w:w="0" w:type="dxa"/>
            </w:tcMar>
          </w:tcPr>
          <w:p w:rsidR="00DD4F74" w:rsidRPr="00443C3C" w:rsidRDefault="00DD4F74" w:rsidP="00BF2B67">
            <w:pPr>
              <w:rPr>
                <w:rFonts w:cs="Arial"/>
                <w:lang w:val="en-US"/>
              </w:rPr>
            </w:pPr>
            <w:r w:rsidRPr="00443C3C">
              <w:rPr>
                <w:rFonts w:cs="Arial"/>
                <w:lang w:val="en-US"/>
              </w:rPr>
              <w:t>287</w:t>
            </w:r>
          </w:p>
        </w:tc>
        <w:tc>
          <w:tcPr>
            <w:tcW w:w="1704" w:type="dxa"/>
            <w:shd w:val="clear" w:color="auto" w:fill="FFFFFF"/>
          </w:tcPr>
          <w:p w:rsidR="00DD4F74" w:rsidRPr="00443C3C" w:rsidRDefault="00DD4F74" w:rsidP="00BF2B67">
            <w:pPr>
              <w:rPr>
                <w:rFonts w:cs="Arial"/>
                <w:lang w:val="en-US"/>
              </w:rPr>
            </w:pPr>
            <w:r w:rsidRPr="00443C3C">
              <w:rPr>
                <w:rFonts w:cs="Arial"/>
                <w:lang w:val="en-US"/>
              </w:rPr>
              <w:t>362</w:t>
            </w:r>
          </w:p>
        </w:tc>
        <w:tc>
          <w:tcPr>
            <w:tcW w:w="1705" w:type="dxa"/>
            <w:shd w:val="clear" w:color="auto" w:fill="FFFFFF"/>
          </w:tcPr>
          <w:p w:rsidR="00DD4F74" w:rsidRPr="00443C3C" w:rsidRDefault="00DD4F74" w:rsidP="00F80C74">
            <w:pPr>
              <w:rPr>
                <w:rFonts w:cs="Arial"/>
                <w:lang w:val="en-US"/>
              </w:rPr>
            </w:pPr>
            <w:r w:rsidRPr="00443C3C">
              <w:rPr>
                <w:rFonts w:cs="Arial"/>
                <w:lang w:val="en-US"/>
              </w:rPr>
              <w:t>4</w:t>
            </w:r>
            <w:r w:rsidR="00F80C74">
              <w:rPr>
                <w:rFonts w:cs="Arial"/>
                <w:lang w:val="en-US"/>
              </w:rPr>
              <w:t>30</w:t>
            </w:r>
          </w:p>
        </w:tc>
      </w:tr>
      <w:tr w:rsidR="00DD4F74" w:rsidRPr="00443C3C" w:rsidTr="00C516BD">
        <w:trPr>
          <w:cantSplit/>
          <w:trHeight w:val="677"/>
        </w:trPr>
        <w:tc>
          <w:tcPr>
            <w:tcW w:w="4678" w:type="dxa"/>
            <w:shd w:val="clear" w:color="auto" w:fill="DAEEF3"/>
            <w:tcMar>
              <w:top w:w="80" w:type="dxa"/>
              <w:left w:w="0" w:type="dxa"/>
              <w:bottom w:w="80" w:type="dxa"/>
              <w:right w:w="0" w:type="dxa"/>
            </w:tcMar>
          </w:tcPr>
          <w:p w:rsidR="00DD4F74" w:rsidRPr="00DD4F74" w:rsidRDefault="00DD4F74" w:rsidP="00BF2B67">
            <w:pPr>
              <w:pStyle w:val="Body1"/>
              <w:rPr>
                <w:rFonts w:ascii="Arial" w:hAnsi="Arial" w:cs="Arial"/>
                <w:color w:val="auto"/>
                <w:szCs w:val="24"/>
                <w:u w:color="31849B"/>
                <w:lang w:val="en-US"/>
              </w:rPr>
            </w:pPr>
            <w:r w:rsidRPr="00443C3C">
              <w:rPr>
                <w:rFonts w:ascii="Arial" w:hAnsi="Arial" w:cs="Arial"/>
                <w:color w:val="auto"/>
                <w:szCs w:val="24"/>
                <w:lang w:val="en-US"/>
              </w:rPr>
              <w:t>Total number of people receiving more funding for increased supports</w:t>
            </w:r>
          </w:p>
        </w:tc>
        <w:tc>
          <w:tcPr>
            <w:tcW w:w="1704" w:type="dxa"/>
            <w:shd w:val="clear" w:color="auto" w:fill="DAEEF3"/>
            <w:tcMar>
              <w:top w:w="80" w:type="dxa"/>
              <w:left w:w="0" w:type="dxa"/>
              <w:bottom w:w="80" w:type="dxa"/>
              <w:right w:w="0" w:type="dxa"/>
            </w:tcMar>
          </w:tcPr>
          <w:p w:rsidR="00DD4F74" w:rsidRPr="00443C3C" w:rsidRDefault="00DD4F74" w:rsidP="00BF2B67">
            <w:pPr>
              <w:rPr>
                <w:rFonts w:cs="Arial"/>
                <w:lang w:val="en-US"/>
              </w:rPr>
            </w:pPr>
            <w:r w:rsidRPr="00443C3C">
              <w:rPr>
                <w:rFonts w:cs="Arial"/>
                <w:lang w:val="en-US"/>
              </w:rPr>
              <w:t>35</w:t>
            </w:r>
          </w:p>
        </w:tc>
        <w:tc>
          <w:tcPr>
            <w:tcW w:w="1704" w:type="dxa"/>
            <w:shd w:val="clear" w:color="auto" w:fill="DAEEF3"/>
          </w:tcPr>
          <w:p w:rsidR="00DD4F74" w:rsidRPr="00443C3C" w:rsidRDefault="00DD4F74" w:rsidP="00BF2B67">
            <w:pPr>
              <w:rPr>
                <w:rFonts w:cs="Arial"/>
                <w:lang w:val="en-US"/>
              </w:rPr>
            </w:pPr>
            <w:r w:rsidRPr="00443C3C">
              <w:rPr>
                <w:rFonts w:cs="Arial"/>
                <w:lang w:val="en-US"/>
              </w:rPr>
              <w:t>96</w:t>
            </w:r>
          </w:p>
        </w:tc>
        <w:tc>
          <w:tcPr>
            <w:tcW w:w="1705" w:type="dxa"/>
            <w:shd w:val="clear" w:color="auto" w:fill="DAEEF3"/>
          </w:tcPr>
          <w:p w:rsidR="00DD4F74" w:rsidRPr="00443C3C" w:rsidRDefault="00F80C74" w:rsidP="00BF2B67">
            <w:pPr>
              <w:rPr>
                <w:rFonts w:cs="Arial"/>
                <w:lang w:val="en-US"/>
              </w:rPr>
            </w:pPr>
            <w:r>
              <w:rPr>
                <w:rFonts w:cs="Arial"/>
                <w:lang w:val="en-US"/>
              </w:rPr>
              <w:t>88</w:t>
            </w:r>
          </w:p>
        </w:tc>
      </w:tr>
    </w:tbl>
    <w:p w:rsidR="00DD4F74" w:rsidRDefault="00DD4F74" w:rsidP="00443C3C">
      <w:pPr>
        <w:rPr>
          <w:rFonts w:cs="Arial"/>
          <w:b/>
          <w:lang w:val="en-US"/>
        </w:rPr>
      </w:pPr>
    </w:p>
    <w:p w:rsidR="00DD4F74" w:rsidRPr="00443C3C" w:rsidRDefault="00DD4F74" w:rsidP="00443C3C">
      <w:pPr>
        <w:rPr>
          <w:rFonts w:cs="Arial"/>
          <w:b/>
          <w:lang w:val="en-US"/>
        </w:rPr>
      </w:pPr>
    </w:p>
    <w:p w:rsidR="00230238" w:rsidRDefault="00230238" w:rsidP="00443C3C">
      <w:pPr>
        <w:pStyle w:val="Body1"/>
        <w:rPr>
          <w:rFonts w:ascii="Arial" w:hAnsi="Arial" w:cs="Arial"/>
          <w:color w:val="auto"/>
          <w:szCs w:val="24"/>
        </w:rPr>
      </w:pPr>
      <w:r w:rsidRPr="00B9176B">
        <w:rPr>
          <w:rFonts w:ascii="Arial" w:eastAsia="Times New Roman" w:hAnsi="Arial" w:cs="Arial"/>
          <w:color w:val="auto"/>
          <w:szCs w:val="24"/>
          <w:lang w:val="en-US"/>
        </w:rPr>
        <w:t>Note: Applications which are not funded in a round are carried over to the next round. On</w:t>
      </w:r>
      <w:r w:rsidRPr="00443C3C">
        <w:rPr>
          <w:rFonts w:ascii="Arial" w:eastAsia="Times New Roman" w:hAnsi="Arial" w:cs="Arial"/>
          <w:color w:val="auto"/>
          <w:szCs w:val="24"/>
          <w:lang w:val="en-US"/>
        </w:rPr>
        <w:t xml:space="preserve"> average two thirds of applications that are received have been carried over. While a person may not receive their requested funding immediately, </w:t>
      </w:r>
      <w:r w:rsidRPr="00443C3C">
        <w:rPr>
          <w:rFonts w:ascii="Arial" w:hAnsi="Arial" w:cs="Arial"/>
          <w:color w:val="auto"/>
          <w:szCs w:val="24"/>
          <w:lang w:val="en-US"/>
        </w:rPr>
        <w:t xml:space="preserve">alternative services </w:t>
      </w:r>
      <w:r w:rsidR="00443C3C">
        <w:rPr>
          <w:rFonts w:ascii="Arial" w:hAnsi="Arial" w:cs="Arial"/>
          <w:color w:val="auto"/>
          <w:szCs w:val="24"/>
          <w:lang w:val="en-US"/>
        </w:rPr>
        <w:t xml:space="preserve">from </w:t>
      </w:r>
      <w:r w:rsidRPr="00443C3C">
        <w:rPr>
          <w:rFonts w:ascii="Arial" w:hAnsi="Arial" w:cs="Arial"/>
          <w:color w:val="auto"/>
          <w:szCs w:val="24"/>
          <w:lang w:val="en-US"/>
        </w:rPr>
        <w:t>a range of service providers are accessed by the majority of applicants while waiting for subsequent funding rounds to be processed</w:t>
      </w:r>
      <w:r w:rsidRPr="00443C3C">
        <w:rPr>
          <w:rFonts w:ascii="Arial" w:eastAsia="Times New Roman" w:hAnsi="Arial" w:cs="Arial"/>
          <w:color w:val="auto"/>
          <w:szCs w:val="24"/>
          <w:lang w:val="en-US"/>
        </w:rPr>
        <w:t>.</w:t>
      </w:r>
      <w:r w:rsidRPr="00443C3C">
        <w:rPr>
          <w:rFonts w:ascii="Arial" w:hAnsi="Arial" w:cs="Arial"/>
          <w:color w:val="auto"/>
          <w:szCs w:val="24"/>
        </w:rPr>
        <w:t xml:space="preserve"> </w:t>
      </w:r>
    </w:p>
    <w:p w:rsidR="00736C8D" w:rsidRPr="00443C3C" w:rsidRDefault="00736C8D" w:rsidP="00443C3C">
      <w:pPr>
        <w:pStyle w:val="Body1"/>
        <w:rPr>
          <w:rFonts w:ascii="Arial" w:hAnsi="Arial" w:cs="Arial"/>
          <w:color w:val="auto"/>
          <w:szCs w:val="24"/>
        </w:rPr>
      </w:pPr>
    </w:p>
    <w:p w:rsidR="00230238" w:rsidRPr="000730C3" w:rsidRDefault="00230238" w:rsidP="00443C3C">
      <w:pPr>
        <w:pStyle w:val="Body1"/>
        <w:rPr>
          <w:rFonts w:ascii="Arial" w:hAnsi="Arial" w:cs="Arial"/>
          <w:b/>
          <w:color w:val="auto"/>
          <w:sz w:val="28"/>
          <w:szCs w:val="28"/>
          <w:u w:color="31849B"/>
          <w:lang w:val="en-US"/>
        </w:rPr>
      </w:pPr>
      <w:r w:rsidRPr="000730C3">
        <w:rPr>
          <w:rFonts w:ascii="Arial" w:hAnsi="Arial" w:cs="Arial"/>
          <w:b/>
          <w:color w:val="auto"/>
          <w:sz w:val="28"/>
          <w:szCs w:val="28"/>
          <w:u w:color="31849B"/>
          <w:lang w:val="en-US"/>
        </w:rPr>
        <w:t>Recent Trends</w:t>
      </w:r>
    </w:p>
    <w:p w:rsidR="00230238" w:rsidRPr="00443C3C" w:rsidRDefault="00230238" w:rsidP="00443C3C">
      <w:pPr>
        <w:pStyle w:val="Body1"/>
        <w:rPr>
          <w:rFonts w:ascii="Arial" w:hAnsi="Arial" w:cs="Arial"/>
          <w:color w:val="auto"/>
          <w:szCs w:val="24"/>
        </w:rPr>
      </w:pPr>
    </w:p>
    <w:p w:rsidR="00230238" w:rsidRPr="00443C3C" w:rsidRDefault="00230238" w:rsidP="00443C3C">
      <w:pPr>
        <w:pStyle w:val="Body1"/>
        <w:rPr>
          <w:rFonts w:ascii="Arial" w:hAnsi="Arial" w:cs="Arial"/>
          <w:b/>
          <w:color w:val="auto"/>
          <w:szCs w:val="24"/>
        </w:rPr>
      </w:pPr>
      <w:r w:rsidRPr="00443C3C">
        <w:rPr>
          <w:rFonts w:ascii="Arial" w:hAnsi="Arial" w:cs="Arial"/>
          <w:b/>
          <w:color w:val="auto"/>
          <w:szCs w:val="24"/>
        </w:rPr>
        <w:t>Time periods</w:t>
      </w:r>
    </w:p>
    <w:p w:rsidR="006E5227" w:rsidRDefault="00230238" w:rsidP="00B13797">
      <w:pPr>
        <w:pStyle w:val="Body1"/>
        <w:rPr>
          <w:rFonts w:ascii="Arial" w:hAnsi="Arial" w:cs="Arial"/>
          <w:color w:val="auto"/>
          <w:szCs w:val="24"/>
        </w:rPr>
      </w:pPr>
      <w:r w:rsidRPr="00443C3C">
        <w:rPr>
          <w:rFonts w:ascii="Arial" w:hAnsi="Arial" w:cs="Arial"/>
          <w:color w:val="auto"/>
          <w:szCs w:val="24"/>
        </w:rPr>
        <w:t>The length of time between applying for services and receiving those services is an important matter for people with disability, their families, and carers. The Commission monitors the waiting period experienced by people applying for CAP and for recent CAP</w:t>
      </w:r>
      <w:r w:rsidR="00B13797">
        <w:rPr>
          <w:rFonts w:ascii="Arial" w:hAnsi="Arial" w:cs="Arial"/>
          <w:color w:val="auto"/>
          <w:szCs w:val="24"/>
        </w:rPr>
        <w:t xml:space="preserve"> </w:t>
      </w:r>
      <w:r w:rsidRPr="00443C3C">
        <w:rPr>
          <w:rFonts w:ascii="Arial" w:hAnsi="Arial" w:cs="Arial"/>
          <w:color w:val="auto"/>
          <w:szCs w:val="24"/>
        </w:rPr>
        <w:t xml:space="preserve">services, </w:t>
      </w:r>
      <w:r w:rsidR="00935F3A">
        <w:rPr>
          <w:rFonts w:ascii="Arial" w:hAnsi="Arial" w:cs="Arial"/>
          <w:color w:val="auto"/>
          <w:szCs w:val="24"/>
        </w:rPr>
        <w:t>many</w:t>
      </w:r>
      <w:r w:rsidR="00935F3A" w:rsidRPr="00443C3C">
        <w:rPr>
          <w:rFonts w:ascii="Arial" w:hAnsi="Arial" w:cs="Arial"/>
          <w:color w:val="auto"/>
          <w:szCs w:val="24"/>
        </w:rPr>
        <w:t xml:space="preserve"> </w:t>
      </w:r>
      <w:r w:rsidRPr="00443C3C">
        <w:rPr>
          <w:rFonts w:ascii="Arial" w:hAnsi="Arial" w:cs="Arial"/>
          <w:color w:val="auto"/>
          <w:szCs w:val="24"/>
        </w:rPr>
        <w:t>applications were funded within two years, specifically:</w:t>
      </w:r>
      <w:r w:rsidR="006E5227">
        <w:rPr>
          <w:rFonts w:ascii="Arial" w:hAnsi="Arial" w:cs="Arial"/>
          <w:color w:val="auto"/>
          <w:szCs w:val="24"/>
        </w:rPr>
        <w:tab/>
      </w:r>
    </w:p>
    <w:p w:rsidR="00B13797" w:rsidRPr="00443C3C" w:rsidRDefault="00B13797" w:rsidP="00B13797">
      <w:pPr>
        <w:pStyle w:val="Body1"/>
        <w:rPr>
          <w:rFonts w:ascii="Arial" w:hAnsi="Arial" w:cs="Arial"/>
          <w:color w:val="auto"/>
          <w:szCs w:val="24"/>
        </w:rPr>
      </w:pPr>
    </w:p>
    <w:p w:rsidR="00230238" w:rsidRPr="00443C3C" w:rsidRDefault="003A7470" w:rsidP="003A7470">
      <w:pPr>
        <w:pStyle w:val="Body1"/>
        <w:numPr>
          <w:ilvl w:val="1"/>
          <w:numId w:val="4"/>
        </w:numPr>
        <w:ind w:left="1080" w:hanging="360"/>
        <w:rPr>
          <w:rFonts w:ascii="Arial" w:hAnsi="Arial" w:cs="Arial"/>
          <w:color w:val="auto"/>
          <w:szCs w:val="24"/>
        </w:rPr>
      </w:pPr>
      <w:r>
        <w:rPr>
          <w:rFonts w:ascii="Arial" w:hAnsi="Arial" w:cs="Arial"/>
          <w:color w:val="auto"/>
          <w:szCs w:val="24"/>
        </w:rPr>
        <w:t>63 per cent</w:t>
      </w:r>
      <w:r w:rsidR="00230238" w:rsidRPr="00443C3C">
        <w:rPr>
          <w:rFonts w:ascii="Arial" w:hAnsi="Arial" w:cs="Arial"/>
          <w:color w:val="auto"/>
          <w:szCs w:val="24"/>
        </w:rPr>
        <w:t xml:space="preserve"> of applications for accommodation support</w:t>
      </w:r>
    </w:p>
    <w:p w:rsidR="00230238" w:rsidRPr="00443C3C" w:rsidRDefault="00230238" w:rsidP="003A7470">
      <w:pPr>
        <w:pStyle w:val="Body1"/>
        <w:numPr>
          <w:ilvl w:val="1"/>
          <w:numId w:val="4"/>
        </w:numPr>
        <w:ind w:left="1080" w:hanging="360"/>
        <w:rPr>
          <w:rFonts w:ascii="Arial" w:hAnsi="Arial" w:cs="Arial"/>
          <w:color w:val="auto"/>
          <w:szCs w:val="24"/>
        </w:rPr>
      </w:pPr>
      <w:r w:rsidRPr="00443C3C">
        <w:rPr>
          <w:rFonts w:ascii="Arial" w:hAnsi="Arial" w:cs="Arial"/>
          <w:color w:val="auto"/>
          <w:szCs w:val="24"/>
        </w:rPr>
        <w:t>72</w:t>
      </w:r>
      <w:r w:rsidR="003A7470">
        <w:rPr>
          <w:rFonts w:ascii="Arial" w:hAnsi="Arial" w:cs="Arial"/>
          <w:color w:val="auto"/>
          <w:szCs w:val="24"/>
        </w:rPr>
        <w:t xml:space="preserve"> per cent </w:t>
      </w:r>
      <w:r w:rsidRPr="00443C3C">
        <w:rPr>
          <w:rFonts w:ascii="Arial" w:hAnsi="Arial" w:cs="Arial"/>
          <w:color w:val="auto"/>
          <w:szCs w:val="24"/>
        </w:rPr>
        <w:t>of applications for support in the family home</w:t>
      </w:r>
    </w:p>
    <w:p w:rsidR="00230238" w:rsidRPr="00736C8D" w:rsidRDefault="003A7470" w:rsidP="003A7470">
      <w:pPr>
        <w:pStyle w:val="Body1"/>
        <w:numPr>
          <w:ilvl w:val="1"/>
          <w:numId w:val="4"/>
        </w:numPr>
        <w:ind w:left="1080" w:hanging="360"/>
        <w:rPr>
          <w:rFonts w:ascii="Arial" w:hAnsi="Arial" w:cs="Arial"/>
          <w:color w:val="auto"/>
          <w:szCs w:val="24"/>
        </w:rPr>
      </w:pPr>
      <w:r>
        <w:rPr>
          <w:rFonts w:ascii="Arial" w:hAnsi="Arial" w:cs="Arial"/>
          <w:color w:val="auto"/>
          <w:szCs w:val="24"/>
        </w:rPr>
        <w:t>64 per cent</w:t>
      </w:r>
      <w:r w:rsidR="00230238" w:rsidRPr="00443C3C">
        <w:rPr>
          <w:rFonts w:ascii="Arial" w:hAnsi="Arial" w:cs="Arial"/>
          <w:color w:val="auto"/>
          <w:szCs w:val="24"/>
        </w:rPr>
        <w:t xml:space="preserve"> of applications for alternatives to employment.</w:t>
      </w:r>
    </w:p>
    <w:p w:rsidR="0021701D" w:rsidRDefault="0021701D" w:rsidP="00443C3C">
      <w:pPr>
        <w:pStyle w:val="Body1"/>
        <w:rPr>
          <w:rFonts w:ascii="Arial" w:hAnsi="Arial" w:cs="Arial"/>
          <w:b/>
          <w:color w:val="auto"/>
          <w:szCs w:val="24"/>
        </w:rPr>
      </w:pPr>
    </w:p>
    <w:p w:rsidR="00230238" w:rsidRPr="00443C3C" w:rsidRDefault="00230238" w:rsidP="00443C3C">
      <w:pPr>
        <w:pStyle w:val="Body1"/>
        <w:rPr>
          <w:rFonts w:ascii="Arial" w:hAnsi="Arial" w:cs="Arial"/>
          <w:b/>
          <w:color w:val="auto"/>
          <w:szCs w:val="24"/>
        </w:rPr>
      </w:pPr>
      <w:r w:rsidRPr="00443C3C">
        <w:rPr>
          <w:rFonts w:ascii="Arial" w:hAnsi="Arial" w:cs="Arial"/>
          <w:b/>
          <w:color w:val="auto"/>
          <w:szCs w:val="24"/>
        </w:rPr>
        <w:t>Age distribution</w:t>
      </w:r>
    </w:p>
    <w:p w:rsidR="00230238" w:rsidRPr="00443C3C" w:rsidRDefault="00230238" w:rsidP="00443C3C">
      <w:pPr>
        <w:rPr>
          <w:rFonts w:cs="Arial"/>
        </w:rPr>
      </w:pPr>
      <w:r w:rsidRPr="00443C3C">
        <w:rPr>
          <w:rFonts w:cs="Arial"/>
        </w:rPr>
        <w:t xml:space="preserve">Over the past six years there has been a notable shift in the age distribution of CAP </w:t>
      </w:r>
      <w:r w:rsidR="008F05B3">
        <w:rPr>
          <w:rFonts w:cs="Arial"/>
        </w:rPr>
        <w:t xml:space="preserve">applicants. In 2006 – </w:t>
      </w:r>
      <w:r w:rsidRPr="00443C3C">
        <w:rPr>
          <w:rFonts w:cs="Arial"/>
        </w:rPr>
        <w:t>07</w:t>
      </w:r>
      <w:r w:rsidR="008F05B3">
        <w:rPr>
          <w:rFonts w:cs="Arial"/>
        </w:rPr>
        <w:t xml:space="preserve"> </w:t>
      </w:r>
      <w:r w:rsidRPr="00443C3C">
        <w:rPr>
          <w:rFonts w:cs="Arial"/>
        </w:rPr>
        <w:t>there was a peak in the number of applications from individuals aged 16 – 25 years. This peak has now shifted to individuals aged 50 years or older. This is partly due to t</w:t>
      </w:r>
      <w:r w:rsidR="008F05B3">
        <w:rPr>
          <w:rFonts w:cs="Arial"/>
        </w:rPr>
        <w:t>he i</w:t>
      </w:r>
      <w:r w:rsidRPr="00443C3C">
        <w:rPr>
          <w:rFonts w:cs="Arial"/>
        </w:rPr>
        <w:t>ntroduction of more appropriate service delivery strategies, such as Post School Options and the Community Living program.</w:t>
      </w:r>
    </w:p>
    <w:p w:rsidR="00230238" w:rsidRPr="00443C3C" w:rsidRDefault="00230238" w:rsidP="00443C3C">
      <w:pPr>
        <w:pStyle w:val="Body1"/>
        <w:rPr>
          <w:rFonts w:ascii="Arial" w:hAnsi="Arial" w:cs="Arial"/>
          <w:color w:val="auto"/>
          <w:szCs w:val="24"/>
        </w:rPr>
      </w:pPr>
    </w:p>
    <w:p w:rsidR="00DD7ED9" w:rsidRDefault="00DD7ED9" w:rsidP="00443C3C">
      <w:pPr>
        <w:pStyle w:val="Body1"/>
        <w:rPr>
          <w:rFonts w:ascii="Arial" w:hAnsi="Arial" w:cs="Arial"/>
          <w:b/>
          <w:color w:val="auto"/>
          <w:sz w:val="28"/>
          <w:szCs w:val="28"/>
        </w:rPr>
      </w:pPr>
    </w:p>
    <w:p w:rsidR="00230238" w:rsidRPr="006E5227" w:rsidRDefault="00230238" w:rsidP="00443C3C">
      <w:pPr>
        <w:pStyle w:val="Body1"/>
        <w:rPr>
          <w:rFonts w:ascii="Arial" w:hAnsi="Arial" w:cs="Arial"/>
          <w:b/>
          <w:color w:val="auto"/>
          <w:sz w:val="28"/>
          <w:szCs w:val="28"/>
        </w:rPr>
      </w:pPr>
      <w:r w:rsidRPr="006E5227">
        <w:rPr>
          <w:rFonts w:ascii="Arial" w:hAnsi="Arial" w:cs="Arial"/>
          <w:b/>
          <w:color w:val="auto"/>
          <w:sz w:val="28"/>
          <w:szCs w:val="28"/>
        </w:rPr>
        <w:t>Further information</w:t>
      </w:r>
    </w:p>
    <w:p w:rsidR="00230238" w:rsidRPr="00443C3C" w:rsidRDefault="00230238" w:rsidP="00443C3C">
      <w:pPr>
        <w:pStyle w:val="Body1"/>
        <w:rPr>
          <w:rFonts w:ascii="Arial" w:hAnsi="Arial" w:cs="Arial"/>
          <w:color w:val="auto"/>
          <w:szCs w:val="24"/>
        </w:rPr>
      </w:pPr>
    </w:p>
    <w:p w:rsidR="00230238" w:rsidRPr="00443C3C" w:rsidRDefault="00230238" w:rsidP="00443C3C">
      <w:pPr>
        <w:pStyle w:val="Body1"/>
        <w:rPr>
          <w:rFonts w:ascii="Arial" w:hAnsi="Arial" w:cs="Arial"/>
          <w:color w:val="auto"/>
          <w:szCs w:val="24"/>
        </w:rPr>
      </w:pPr>
      <w:r w:rsidRPr="00443C3C">
        <w:rPr>
          <w:rFonts w:ascii="Arial" w:hAnsi="Arial" w:cs="Arial"/>
          <w:color w:val="auto"/>
          <w:szCs w:val="24"/>
        </w:rPr>
        <w:t>For further information please contact:</w:t>
      </w:r>
    </w:p>
    <w:p w:rsidR="00230238" w:rsidRPr="00443C3C" w:rsidRDefault="00230238" w:rsidP="00443C3C">
      <w:pPr>
        <w:pStyle w:val="Body1"/>
        <w:rPr>
          <w:rFonts w:ascii="Arial" w:hAnsi="Arial" w:cs="Arial"/>
          <w:color w:val="auto"/>
          <w:szCs w:val="24"/>
        </w:rPr>
      </w:pPr>
    </w:p>
    <w:p w:rsidR="006863C8" w:rsidRDefault="006863C8" w:rsidP="006863C8">
      <w:pPr>
        <w:rPr>
          <w:rFonts w:cs="Arial"/>
        </w:rPr>
      </w:pPr>
      <w:r>
        <w:rPr>
          <w:rFonts w:cs="Arial"/>
        </w:rPr>
        <w:t>Michael Carroll</w:t>
      </w:r>
    </w:p>
    <w:p w:rsidR="006863C8" w:rsidRPr="006863C8" w:rsidRDefault="006863C8" w:rsidP="006863C8">
      <w:pPr>
        <w:rPr>
          <w:rFonts w:cs="Arial"/>
        </w:rPr>
      </w:pPr>
      <w:r w:rsidRPr="006863C8">
        <w:rPr>
          <w:rFonts w:cs="Arial"/>
          <w:noProof/>
        </w:rPr>
        <w:t xml:space="preserve">Manager, Commonwealth State Relations and Funding Analysis Branch </w:t>
      </w:r>
      <w:r w:rsidRPr="006863C8">
        <w:rPr>
          <w:rFonts w:cs="Arial"/>
          <w:noProof/>
        </w:rPr>
        <w:br/>
        <w:t xml:space="preserve">Policy and Strategy Directorate </w:t>
      </w:r>
      <w:r w:rsidRPr="006863C8">
        <w:rPr>
          <w:rFonts w:cs="Arial"/>
          <w:noProof/>
        </w:rPr>
        <w:br/>
        <w:t xml:space="preserve">Disability Services Commission </w:t>
      </w:r>
      <w:r w:rsidRPr="006863C8">
        <w:rPr>
          <w:rFonts w:cs="Arial"/>
          <w:noProof/>
        </w:rPr>
        <w:br/>
      </w:r>
      <w:r>
        <w:rPr>
          <w:rFonts w:cs="Arial"/>
          <w:bCs/>
          <w:noProof/>
        </w:rPr>
        <w:t>Ph</w:t>
      </w:r>
      <w:r w:rsidRPr="006863C8">
        <w:rPr>
          <w:rFonts w:cs="Arial"/>
          <w:bCs/>
          <w:noProof/>
        </w:rPr>
        <w:t>:</w:t>
      </w:r>
      <w:r>
        <w:rPr>
          <w:rFonts w:cs="Arial"/>
          <w:noProof/>
        </w:rPr>
        <w:t xml:space="preserve"> </w:t>
      </w:r>
      <w:r w:rsidRPr="006863C8">
        <w:rPr>
          <w:rFonts w:cs="Arial"/>
          <w:noProof/>
        </w:rPr>
        <w:t xml:space="preserve">9426 9776 </w:t>
      </w:r>
      <w:r w:rsidRPr="006863C8">
        <w:rPr>
          <w:rFonts w:cs="Arial"/>
          <w:noProof/>
        </w:rPr>
        <w:br/>
      </w:r>
      <w:r w:rsidRPr="006863C8">
        <w:rPr>
          <w:rFonts w:cs="Arial"/>
          <w:bCs/>
          <w:noProof/>
        </w:rPr>
        <w:t>Email:</w:t>
      </w:r>
      <w:r w:rsidRPr="006863C8">
        <w:rPr>
          <w:rFonts w:cs="Arial"/>
          <w:noProof/>
        </w:rPr>
        <w:t xml:space="preserve"> </w:t>
      </w:r>
      <w:hyperlink r:id="rId9" w:history="1">
        <w:r w:rsidRPr="006863C8">
          <w:rPr>
            <w:rStyle w:val="Hyperlink"/>
            <w:rFonts w:ascii="Arial" w:hAnsi="Arial" w:cs="Arial"/>
            <w:noProof/>
            <w:color w:val="000000"/>
          </w:rPr>
          <w:t>michael.carroll@dsc.wa.gov.au</w:t>
        </w:r>
      </w:hyperlink>
      <w:r w:rsidRPr="006863C8">
        <w:rPr>
          <w:rFonts w:cs="Arial"/>
          <w:noProof/>
        </w:rPr>
        <w:t xml:space="preserve"> </w:t>
      </w:r>
    </w:p>
    <w:p w:rsidR="006863C8" w:rsidRPr="00736C8D" w:rsidRDefault="006863C8" w:rsidP="00C036A4">
      <w:pPr>
        <w:rPr>
          <w:rFonts w:cs="Arial"/>
        </w:rPr>
      </w:pPr>
    </w:p>
    <w:sectPr w:rsidR="006863C8" w:rsidRPr="00736C8D" w:rsidSect="008F05B3">
      <w:headerReference w:type="default" r:id="rId10"/>
      <w:headerReference w:type="first" r:id="rId11"/>
      <w:pgSz w:w="11900" w:h="16840"/>
      <w:pgMar w:top="1440" w:right="1080" w:bottom="1560" w:left="1080" w:header="284" w:footer="708"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7F58" w:rsidRDefault="009F7F58" w:rsidP="00146005">
      <w:r>
        <w:separator/>
      </w:r>
    </w:p>
  </w:endnote>
  <w:endnote w:type="continuationSeparator" w:id="0">
    <w:p w:rsidR="009F7F58" w:rsidRDefault="009F7F58" w:rsidP="001460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7F58" w:rsidRDefault="009F7F58" w:rsidP="00146005">
      <w:r>
        <w:separator/>
      </w:r>
    </w:p>
  </w:footnote>
  <w:footnote w:type="continuationSeparator" w:id="0">
    <w:p w:rsidR="009F7F58" w:rsidRDefault="009F7F58" w:rsidP="001460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F3A" w:rsidRDefault="00935F3A" w:rsidP="00146005">
    <w:pPr>
      <w:pStyle w:val="Header"/>
      <w:ind w:left="-141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F3A" w:rsidRDefault="00935F3A" w:rsidP="00146005">
    <w:pPr>
      <w:pStyle w:val="Header"/>
      <w:ind w:left="-1418"/>
    </w:pPr>
    <w:r>
      <w:rPr>
        <w:noProof/>
      </w:rPr>
      <w:drawing>
        <wp:anchor distT="0" distB="0" distL="114300" distR="114300" simplePos="0" relativeHeight="251657728" behindDoc="0" locked="0" layoutInCell="1" allowOverlap="1">
          <wp:simplePos x="0" y="0"/>
          <wp:positionH relativeFrom="column">
            <wp:align>center</wp:align>
          </wp:positionH>
          <wp:positionV relativeFrom="paragraph">
            <wp:posOffset>0</wp:posOffset>
          </wp:positionV>
          <wp:extent cx="7172325" cy="2000250"/>
          <wp:effectExtent l="0" t="0" r="9525" b="0"/>
          <wp:wrapSquare wrapText="bothSides"/>
          <wp:docPr id="1" name="Picture 1" descr="Funding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unding 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72325" cy="20002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bullet"/>
      <w:pStyle w:val="List0"/>
      <w:lvlText w:val="•"/>
      <w:lvlJc w:val="left"/>
      <w:pPr>
        <w:tabs>
          <w:tab w:val="num" w:pos="360"/>
        </w:tabs>
        <w:ind w:left="360" w:firstLine="0"/>
      </w:pPr>
      <w:rPr>
        <w:rFonts w:hint="default"/>
        <w:position w:val="0"/>
      </w:rPr>
    </w:lvl>
    <w:lvl w:ilvl="1">
      <w:start w:val="1"/>
      <w:numFmt w:val="bullet"/>
      <w:lvlText w:val="o"/>
      <w:lvlJc w:val="left"/>
      <w:pPr>
        <w:tabs>
          <w:tab w:val="num" w:pos="360"/>
        </w:tabs>
        <w:ind w:left="360" w:firstLine="720"/>
      </w:pPr>
      <w:rPr>
        <w:rFonts w:hint="default"/>
        <w:position w:val="0"/>
      </w:rPr>
    </w:lvl>
    <w:lvl w:ilvl="2">
      <w:start w:val="1"/>
      <w:numFmt w:val="bullet"/>
      <w:lvlText w:val="•"/>
      <w:lvlJc w:val="left"/>
      <w:pPr>
        <w:tabs>
          <w:tab w:val="num" w:pos="360"/>
        </w:tabs>
        <w:ind w:left="360" w:firstLine="1440"/>
      </w:pPr>
      <w:rPr>
        <w:rFonts w:hint="default"/>
        <w:position w:val="0"/>
      </w:rPr>
    </w:lvl>
    <w:lvl w:ilvl="3">
      <w:start w:val="1"/>
      <w:numFmt w:val="bullet"/>
      <w:lvlText w:val="•"/>
      <w:lvlJc w:val="left"/>
      <w:pPr>
        <w:tabs>
          <w:tab w:val="num" w:pos="360"/>
        </w:tabs>
        <w:ind w:left="360" w:firstLine="2160"/>
      </w:pPr>
      <w:rPr>
        <w:rFonts w:hint="default"/>
        <w:position w:val="0"/>
      </w:rPr>
    </w:lvl>
    <w:lvl w:ilvl="4">
      <w:start w:val="1"/>
      <w:numFmt w:val="bullet"/>
      <w:lvlText w:val="o"/>
      <w:lvlJc w:val="left"/>
      <w:pPr>
        <w:tabs>
          <w:tab w:val="num" w:pos="360"/>
        </w:tabs>
        <w:ind w:left="360" w:firstLine="2880"/>
      </w:pPr>
      <w:rPr>
        <w:rFonts w:hint="default"/>
        <w:position w:val="0"/>
      </w:rPr>
    </w:lvl>
    <w:lvl w:ilvl="5">
      <w:start w:val="1"/>
      <w:numFmt w:val="bullet"/>
      <w:lvlText w:val="•"/>
      <w:lvlJc w:val="left"/>
      <w:pPr>
        <w:tabs>
          <w:tab w:val="num" w:pos="360"/>
        </w:tabs>
        <w:ind w:left="360" w:firstLine="3600"/>
      </w:pPr>
      <w:rPr>
        <w:rFonts w:hint="default"/>
        <w:position w:val="0"/>
      </w:rPr>
    </w:lvl>
    <w:lvl w:ilvl="6">
      <w:start w:val="1"/>
      <w:numFmt w:val="bullet"/>
      <w:lvlText w:val="•"/>
      <w:lvlJc w:val="left"/>
      <w:pPr>
        <w:tabs>
          <w:tab w:val="num" w:pos="360"/>
        </w:tabs>
        <w:ind w:left="360" w:firstLine="4320"/>
      </w:pPr>
      <w:rPr>
        <w:rFonts w:hint="default"/>
        <w:position w:val="0"/>
      </w:rPr>
    </w:lvl>
    <w:lvl w:ilvl="7">
      <w:start w:val="1"/>
      <w:numFmt w:val="bullet"/>
      <w:lvlText w:val="o"/>
      <w:lvlJc w:val="left"/>
      <w:pPr>
        <w:tabs>
          <w:tab w:val="num" w:pos="360"/>
        </w:tabs>
        <w:ind w:left="360" w:firstLine="5040"/>
      </w:pPr>
      <w:rPr>
        <w:rFonts w:hint="default"/>
        <w:position w:val="0"/>
      </w:rPr>
    </w:lvl>
    <w:lvl w:ilvl="8">
      <w:start w:val="1"/>
      <w:numFmt w:val="bullet"/>
      <w:lvlText w:val="•"/>
      <w:lvlJc w:val="left"/>
      <w:pPr>
        <w:tabs>
          <w:tab w:val="num" w:pos="360"/>
        </w:tabs>
        <w:ind w:left="360" w:firstLine="5760"/>
      </w:pPr>
      <w:rPr>
        <w:rFonts w:hint="default"/>
        <w:position w:val="0"/>
      </w:rPr>
    </w:lvl>
  </w:abstractNum>
  <w:abstractNum w:abstractNumId="1">
    <w:nsid w:val="00000002"/>
    <w:multiLevelType w:val="multilevel"/>
    <w:tmpl w:val="894EE87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83E5540"/>
    <w:multiLevelType w:val="multilevel"/>
    <w:tmpl w:val="88CC7E8E"/>
    <w:lvl w:ilvl="0">
      <w:numFmt w:val="decimal"/>
      <w:lvlText w:val=""/>
      <w:lvlJc w:val="left"/>
    </w:lvl>
    <w:lvl w:ilvl="1">
      <w:start w:val="1"/>
      <w:numFmt w:val="bullet"/>
      <w:lvlText w:val=""/>
      <w:lvlJc w:val="left"/>
      <w:rPr>
        <w:rFonts w:ascii="Symbol" w:hAnsi="Symbol"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4C06B2C"/>
    <w:multiLevelType w:val="hybridMultilevel"/>
    <w:tmpl w:val="881E720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noLineBreaksAfter w:lang="ja-JP" w:val="‘“(〔[{〈《「『【⦅〘〖«〝︵︷︹︻︽︿﹁﹃﹇﹙﹛﹝｢"/>
  <w:noLineBreaksBefore w:lang="ja-JP" w:val="’”)〕]}〉"/>
  <w:doNotValidateAgainstSchema/>
  <w:doNotDemarcateInvalidXml/>
  <w:hdrShapeDefaults>
    <o:shapedefaults v:ext="edit" spidmax="4097" style="mso-wrap-style:none">
      <v:stroke weight="0" endcap="round"/>
      <v:textbox style="mso-column-count:0;mso-column-margin:0" inset="0,0,0,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A6D"/>
    <w:rsid w:val="000032D3"/>
    <w:rsid w:val="00012C23"/>
    <w:rsid w:val="00015EE3"/>
    <w:rsid w:val="000730C3"/>
    <w:rsid w:val="00083E5C"/>
    <w:rsid w:val="00084948"/>
    <w:rsid w:val="0008529A"/>
    <w:rsid w:val="00085EA8"/>
    <w:rsid w:val="000B032C"/>
    <w:rsid w:val="001418AA"/>
    <w:rsid w:val="00146005"/>
    <w:rsid w:val="00152B6D"/>
    <w:rsid w:val="001540FC"/>
    <w:rsid w:val="001B7568"/>
    <w:rsid w:val="001F6184"/>
    <w:rsid w:val="0021701D"/>
    <w:rsid w:val="00217C40"/>
    <w:rsid w:val="00230238"/>
    <w:rsid w:val="00284C6B"/>
    <w:rsid w:val="002D5A6A"/>
    <w:rsid w:val="0030253F"/>
    <w:rsid w:val="0031235A"/>
    <w:rsid w:val="00340060"/>
    <w:rsid w:val="00367676"/>
    <w:rsid w:val="00397B89"/>
    <w:rsid w:val="003A7470"/>
    <w:rsid w:val="003D3206"/>
    <w:rsid w:val="003F0F42"/>
    <w:rsid w:val="004237D6"/>
    <w:rsid w:val="004238C6"/>
    <w:rsid w:val="00443C3C"/>
    <w:rsid w:val="00450158"/>
    <w:rsid w:val="0058010E"/>
    <w:rsid w:val="005B4304"/>
    <w:rsid w:val="005F541B"/>
    <w:rsid w:val="0063364A"/>
    <w:rsid w:val="00641F94"/>
    <w:rsid w:val="006863C8"/>
    <w:rsid w:val="006C715A"/>
    <w:rsid w:val="006E5227"/>
    <w:rsid w:val="00720D4B"/>
    <w:rsid w:val="0073485C"/>
    <w:rsid w:val="00736C8D"/>
    <w:rsid w:val="007503F5"/>
    <w:rsid w:val="00755B1C"/>
    <w:rsid w:val="00787AC7"/>
    <w:rsid w:val="00792152"/>
    <w:rsid w:val="00795102"/>
    <w:rsid w:val="0079636C"/>
    <w:rsid w:val="00796B8C"/>
    <w:rsid w:val="007979C4"/>
    <w:rsid w:val="007A05F0"/>
    <w:rsid w:val="007B155D"/>
    <w:rsid w:val="007C6E96"/>
    <w:rsid w:val="00861068"/>
    <w:rsid w:val="008E431F"/>
    <w:rsid w:val="008F05B3"/>
    <w:rsid w:val="008F3A23"/>
    <w:rsid w:val="00935F3A"/>
    <w:rsid w:val="009F521D"/>
    <w:rsid w:val="009F7F58"/>
    <w:rsid w:val="00A00C07"/>
    <w:rsid w:val="00A27B91"/>
    <w:rsid w:val="00A40E28"/>
    <w:rsid w:val="00A514D3"/>
    <w:rsid w:val="00A92C01"/>
    <w:rsid w:val="00A96638"/>
    <w:rsid w:val="00AA229F"/>
    <w:rsid w:val="00AB2824"/>
    <w:rsid w:val="00B1057E"/>
    <w:rsid w:val="00B13797"/>
    <w:rsid w:val="00B13EC5"/>
    <w:rsid w:val="00B6157A"/>
    <w:rsid w:val="00B63D36"/>
    <w:rsid w:val="00B9176B"/>
    <w:rsid w:val="00BE1B52"/>
    <w:rsid w:val="00BF2B67"/>
    <w:rsid w:val="00C036A4"/>
    <w:rsid w:val="00C516BD"/>
    <w:rsid w:val="00CA2B7A"/>
    <w:rsid w:val="00DD4F74"/>
    <w:rsid w:val="00DD7ED9"/>
    <w:rsid w:val="00E23B2B"/>
    <w:rsid w:val="00E2762A"/>
    <w:rsid w:val="00E33547"/>
    <w:rsid w:val="00E802E0"/>
    <w:rsid w:val="00E92A67"/>
    <w:rsid w:val="00E935A3"/>
    <w:rsid w:val="00F041B6"/>
    <w:rsid w:val="00F34A6D"/>
    <w:rsid w:val="00F53D73"/>
    <w:rsid w:val="00F80C74"/>
    <w:rsid w:val="00FE1E86"/>
    <w:rsid w:val="00FE3C43"/>
    <w:rsid w:val="00FE534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style="mso-wrap-style:none">
      <v:stroke weight="0" endcap="round"/>
      <v:textbox style="mso-column-count:0;mso-column-margin:0" inset="0,0,0,0"/>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E935A3"/>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pPr>
      <w:outlineLvl w:val="0"/>
    </w:pPr>
    <w:rPr>
      <w:rFonts w:eastAsia="Arial Unicode MS"/>
      <w:color w:val="000000"/>
      <w:sz w:val="24"/>
      <w:u w:color="000000"/>
    </w:rPr>
  </w:style>
  <w:style w:type="paragraph" w:customStyle="1" w:styleId="List0">
    <w:name w:val="List 0"/>
    <w:semiHidden/>
    <w:pPr>
      <w:numPr>
        <w:numId w:val="1"/>
      </w:numPr>
    </w:pPr>
  </w:style>
  <w:style w:type="paragraph" w:styleId="BalloonText">
    <w:name w:val="Balloon Text"/>
    <w:basedOn w:val="Normal"/>
    <w:link w:val="BalloonTextChar"/>
    <w:locked/>
    <w:rsid w:val="00F34A6D"/>
    <w:rPr>
      <w:rFonts w:ascii="Tahoma" w:hAnsi="Tahoma" w:cs="Tahoma"/>
      <w:sz w:val="16"/>
      <w:szCs w:val="16"/>
    </w:rPr>
  </w:style>
  <w:style w:type="character" w:customStyle="1" w:styleId="BalloonTextChar">
    <w:name w:val="Balloon Text Char"/>
    <w:link w:val="BalloonText"/>
    <w:rsid w:val="00F34A6D"/>
    <w:rPr>
      <w:rFonts w:ascii="Tahoma" w:hAnsi="Tahoma" w:cs="Tahoma"/>
      <w:sz w:val="16"/>
      <w:szCs w:val="16"/>
      <w:lang w:val="en-US" w:eastAsia="en-US"/>
    </w:rPr>
  </w:style>
  <w:style w:type="paragraph" w:customStyle="1" w:styleId="Char2">
    <w:name w:val="Char2"/>
    <w:basedOn w:val="Normal"/>
    <w:rsid w:val="00E935A3"/>
    <w:rPr>
      <w:rFonts w:cs="Arial"/>
      <w:sz w:val="22"/>
      <w:szCs w:val="22"/>
      <w:lang w:eastAsia="en-US"/>
    </w:rPr>
  </w:style>
  <w:style w:type="paragraph" w:styleId="Header">
    <w:name w:val="header"/>
    <w:basedOn w:val="Normal"/>
    <w:link w:val="HeaderChar"/>
    <w:locked/>
    <w:rsid w:val="00146005"/>
    <w:pPr>
      <w:tabs>
        <w:tab w:val="center" w:pos="4513"/>
        <w:tab w:val="right" w:pos="9026"/>
      </w:tabs>
    </w:pPr>
  </w:style>
  <w:style w:type="character" w:customStyle="1" w:styleId="HeaderChar">
    <w:name w:val="Header Char"/>
    <w:link w:val="Header"/>
    <w:rsid w:val="00146005"/>
    <w:rPr>
      <w:rFonts w:ascii="Arial" w:hAnsi="Arial"/>
      <w:sz w:val="24"/>
      <w:szCs w:val="24"/>
    </w:rPr>
  </w:style>
  <w:style w:type="paragraph" w:styleId="Footer">
    <w:name w:val="footer"/>
    <w:basedOn w:val="Normal"/>
    <w:link w:val="FooterChar"/>
    <w:locked/>
    <w:rsid w:val="00146005"/>
    <w:pPr>
      <w:tabs>
        <w:tab w:val="center" w:pos="4513"/>
        <w:tab w:val="right" w:pos="9026"/>
      </w:tabs>
    </w:pPr>
  </w:style>
  <w:style w:type="character" w:customStyle="1" w:styleId="FooterChar">
    <w:name w:val="Footer Char"/>
    <w:link w:val="Footer"/>
    <w:rsid w:val="00146005"/>
    <w:rPr>
      <w:rFonts w:ascii="Arial" w:hAnsi="Arial"/>
      <w:sz w:val="24"/>
      <w:szCs w:val="24"/>
    </w:rPr>
  </w:style>
  <w:style w:type="character" w:styleId="Hyperlink">
    <w:name w:val="Hyperlink"/>
    <w:uiPriority w:val="99"/>
    <w:unhideWhenUsed/>
    <w:locked/>
    <w:rsid w:val="00E23B2B"/>
    <w:rPr>
      <w:rFonts w:ascii="Times New Roman" w:hAnsi="Times New Roman" w:cs="Times New Roman" w:hint="default"/>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E935A3"/>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pPr>
      <w:outlineLvl w:val="0"/>
    </w:pPr>
    <w:rPr>
      <w:rFonts w:eastAsia="Arial Unicode MS"/>
      <w:color w:val="000000"/>
      <w:sz w:val="24"/>
      <w:u w:color="000000"/>
    </w:rPr>
  </w:style>
  <w:style w:type="paragraph" w:customStyle="1" w:styleId="List0">
    <w:name w:val="List 0"/>
    <w:semiHidden/>
    <w:pPr>
      <w:numPr>
        <w:numId w:val="1"/>
      </w:numPr>
    </w:pPr>
  </w:style>
  <w:style w:type="paragraph" w:styleId="BalloonText">
    <w:name w:val="Balloon Text"/>
    <w:basedOn w:val="Normal"/>
    <w:link w:val="BalloonTextChar"/>
    <w:locked/>
    <w:rsid w:val="00F34A6D"/>
    <w:rPr>
      <w:rFonts w:ascii="Tahoma" w:hAnsi="Tahoma" w:cs="Tahoma"/>
      <w:sz w:val="16"/>
      <w:szCs w:val="16"/>
    </w:rPr>
  </w:style>
  <w:style w:type="character" w:customStyle="1" w:styleId="BalloonTextChar">
    <w:name w:val="Balloon Text Char"/>
    <w:link w:val="BalloonText"/>
    <w:rsid w:val="00F34A6D"/>
    <w:rPr>
      <w:rFonts w:ascii="Tahoma" w:hAnsi="Tahoma" w:cs="Tahoma"/>
      <w:sz w:val="16"/>
      <w:szCs w:val="16"/>
      <w:lang w:val="en-US" w:eastAsia="en-US"/>
    </w:rPr>
  </w:style>
  <w:style w:type="paragraph" w:customStyle="1" w:styleId="Char2">
    <w:name w:val="Char2"/>
    <w:basedOn w:val="Normal"/>
    <w:rsid w:val="00E935A3"/>
    <w:rPr>
      <w:rFonts w:cs="Arial"/>
      <w:sz w:val="22"/>
      <w:szCs w:val="22"/>
      <w:lang w:eastAsia="en-US"/>
    </w:rPr>
  </w:style>
  <w:style w:type="paragraph" w:styleId="Header">
    <w:name w:val="header"/>
    <w:basedOn w:val="Normal"/>
    <w:link w:val="HeaderChar"/>
    <w:locked/>
    <w:rsid w:val="00146005"/>
    <w:pPr>
      <w:tabs>
        <w:tab w:val="center" w:pos="4513"/>
        <w:tab w:val="right" w:pos="9026"/>
      </w:tabs>
    </w:pPr>
  </w:style>
  <w:style w:type="character" w:customStyle="1" w:styleId="HeaderChar">
    <w:name w:val="Header Char"/>
    <w:link w:val="Header"/>
    <w:rsid w:val="00146005"/>
    <w:rPr>
      <w:rFonts w:ascii="Arial" w:hAnsi="Arial"/>
      <w:sz w:val="24"/>
      <w:szCs w:val="24"/>
    </w:rPr>
  </w:style>
  <w:style w:type="paragraph" w:styleId="Footer">
    <w:name w:val="footer"/>
    <w:basedOn w:val="Normal"/>
    <w:link w:val="FooterChar"/>
    <w:locked/>
    <w:rsid w:val="00146005"/>
    <w:pPr>
      <w:tabs>
        <w:tab w:val="center" w:pos="4513"/>
        <w:tab w:val="right" w:pos="9026"/>
      </w:tabs>
    </w:pPr>
  </w:style>
  <w:style w:type="character" w:customStyle="1" w:styleId="FooterChar">
    <w:name w:val="Footer Char"/>
    <w:link w:val="Footer"/>
    <w:rsid w:val="00146005"/>
    <w:rPr>
      <w:rFonts w:ascii="Arial" w:hAnsi="Arial"/>
      <w:sz w:val="24"/>
      <w:szCs w:val="24"/>
    </w:rPr>
  </w:style>
  <w:style w:type="character" w:styleId="Hyperlink">
    <w:name w:val="Hyperlink"/>
    <w:uiPriority w:val="99"/>
    <w:unhideWhenUsed/>
    <w:locked/>
    <w:rsid w:val="00E23B2B"/>
    <w:rPr>
      <w:rFonts w:ascii="Times New Roman" w:hAnsi="Times New Roman" w:cs="Times New Roman" w:hint="default"/>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3921707">
      <w:bodyDiv w:val="1"/>
      <w:marLeft w:val="0"/>
      <w:marRight w:val="0"/>
      <w:marTop w:val="0"/>
      <w:marBottom w:val="0"/>
      <w:divBdr>
        <w:top w:val="none" w:sz="0" w:space="0" w:color="auto"/>
        <w:left w:val="none" w:sz="0" w:space="0" w:color="auto"/>
        <w:bottom w:val="none" w:sz="0" w:space="0" w:color="auto"/>
        <w:right w:val="none" w:sz="0" w:space="0" w:color="auto"/>
      </w:divBdr>
    </w:div>
    <w:div w:id="1244024137">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ichael.carroll@dsc.wa.gov.a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925</Words>
  <Characters>5188</Characters>
  <Application>Microsoft Office Word</Application>
  <DocSecurity>0</DocSecurity>
  <Lines>172</Lines>
  <Paragraphs>70</Paragraphs>
  <ScaleCrop>false</ScaleCrop>
  <HeadingPairs>
    <vt:vector size="2" baseType="variant">
      <vt:variant>
        <vt:lpstr>Title</vt:lpstr>
      </vt:variant>
      <vt:variant>
        <vt:i4>1</vt:i4>
      </vt:variant>
    </vt:vector>
  </HeadingPairs>
  <TitlesOfParts>
    <vt:vector size="1" baseType="lpstr">
      <vt:lpstr/>
    </vt:vector>
  </TitlesOfParts>
  <Company>DSC</Company>
  <LinksUpToDate>false</LinksUpToDate>
  <CharactersWithSpaces>6043</CharactersWithSpaces>
  <SharedDoc>false</SharedDoc>
  <HLinks>
    <vt:vector size="6" baseType="variant">
      <vt:variant>
        <vt:i4>1638515</vt:i4>
      </vt:variant>
      <vt:variant>
        <vt:i4>0</vt:i4>
      </vt:variant>
      <vt:variant>
        <vt:i4>0</vt:i4>
      </vt:variant>
      <vt:variant>
        <vt:i4>5</vt:i4>
      </vt:variant>
      <vt:variant>
        <vt:lpwstr>mailto:michael.carroll@dsc.wa.gov.au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Disability Support Funding Bulletin - Issue 1 Jan 2013</dc:title>
  <dc:subject>Disability Services Commission funding for individuals</dc:subject>
  <dc:creator>Michael Carroll</dc:creator>
  <cp:keywords>Disability Support Funding Bulletin - Issue 1 Jan 2013</cp:keywords>
  <dc:description>Report on allocation of funding provided by the Disability Services Commission to individuals for purchase of  supports and services</dc:description>
  <cp:lastModifiedBy>Oren Nave</cp:lastModifiedBy>
  <cp:revision>3</cp:revision>
  <cp:lastPrinted>2013-01-29T05:44:00Z</cp:lastPrinted>
  <dcterms:created xsi:type="dcterms:W3CDTF">2013-01-31T06:47:00Z</dcterms:created>
  <dcterms:modified xsi:type="dcterms:W3CDTF">2013-08-06T08:49:00Z</dcterms:modified>
</cp:coreProperties>
</file>