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483" w:rsidRDefault="00B23483" w:rsidP="00F35CAA">
      <w:pPr>
        <w:tabs>
          <w:tab w:val="left" w:pos="567"/>
        </w:tabs>
        <w:spacing w:line="240" w:lineRule="auto"/>
        <w:ind w:left="0" w:right="0"/>
        <w:rPr>
          <w:rStyle w:val="SubtleEmphasis"/>
        </w:rPr>
      </w:pPr>
      <w:bookmarkStart w:id="0" w:name="_GoBack"/>
      <w:bookmarkEnd w:id="0"/>
    </w:p>
    <w:p w:rsidR="00B23483" w:rsidRDefault="00B23483" w:rsidP="00F35CAA">
      <w:pPr>
        <w:tabs>
          <w:tab w:val="left" w:pos="567"/>
        </w:tabs>
        <w:spacing w:line="240" w:lineRule="auto"/>
        <w:ind w:left="0" w:right="0"/>
        <w:rPr>
          <w:rStyle w:val="SubtleEmphasis"/>
        </w:rPr>
      </w:pPr>
    </w:p>
    <w:p w:rsidR="00B23483" w:rsidRDefault="008D2E57" w:rsidP="00F35CAA">
      <w:pPr>
        <w:tabs>
          <w:tab w:val="left" w:pos="567"/>
        </w:tabs>
        <w:spacing w:line="240" w:lineRule="auto"/>
        <w:ind w:left="0" w:right="0"/>
        <w:rPr>
          <w:rStyle w:val="SubtleEmphasis"/>
        </w:rPr>
      </w:pPr>
      <w:r>
        <w:rPr>
          <w:rStyle w:val="SubtleEmphasis"/>
        </w:rPr>
        <w:t>The State Government allocates funding to support people with disability</w:t>
      </w:r>
      <w:r w:rsidR="00F47CE9">
        <w:rPr>
          <w:rStyle w:val="SubtleEmphasis"/>
        </w:rPr>
        <w:t xml:space="preserve"> and</w:t>
      </w:r>
      <w:r>
        <w:rPr>
          <w:rStyle w:val="SubtleEmphasis"/>
        </w:rPr>
        <w:t xml:space="preserve"> their </w:t>
      </w:r>
      <w:r w:rsidR="00D34C5E">
        <w:rPr>
          <w:rStyle w:val="SubtleEmphasis"/>
        </w:rPr>
        <w:t>families</w:t>
      </w:r>
      <w:r>
        <w:rPr>
          <w:rStyle w:val="SubtleEmphasis"/>
        </w:rPr>
        <w:t xml:space="preserve"> and carers. </w:t>
      </w:r>
      <w:r w:rsidR="00B23483">
        <w:rPr>
          <w:rStyle w:val="SubtleEmphasis"/>
        </w:rPr>
        <w:t xml:space="preserve"> </w:t>
      </w:r>
      <w:r>
        <w:rPr>
          <w:rStyle w:val="SubtleEmphasis"/>
        </w:rPr>
        <w:t xml:space="preserve">The Disability Services Commission (the Commission) operates a number of </w:t>
      </w:r>
      <w:r w:rsidR="00D719D0">
        <w:rPr>
          <w:rStyle w:val="SubtleEmphasis"/>
        </w:rPr>
        <w:t>streams through which funding is allocated</w:t>
      </w:r>
      <w:r>
        <w:rPr>
          <w:rStyle w:val="SubtleEmphasis"/>
        </w:rPr>
        <w:t xml:space="preserve">. </w:t>
      </w:r>
      <w:r w:rsidR="00B23483">
        <w:rPr>
          <w:rStyle w:val="SubtleEmphasis"/>
        </w:rPr>
        <w:t xml:space="preserve"> </w:t>
      </w:r>
      <w:r>
        <w:rPr>
          <w:rStyle w:val="SubtleEmphasis"/>
        </w:rPr>
        <w:t>This funding is used to purchase a wide range of su</w:t>
      </w:r>
      <w:r w:rsidR="002C780B">
        <w:rPr>
          <w:rStyle w:val="SubtleEmphasis"/>
        </w:rPr>
        <w:t xml:space="preserve">pports and services. </w:t>
      </w:r>
      <w:r w:rsidR="00B23483">
        <w:rPr>
          <w:rStyle w:val="SubtleEmphasis"/>
        </w:rPr>
        <w:t xml:space="preserve"> </w:t>
      </w:r>
      <w:r w:rsidR="00D3081A">
        <w:rPr>
          <w:rStyle w:val="SubtleEmphasis"/>
        </w:rPr>
        <w:t>Additional</w:t>
      </w:r>
      <w:r w:rsidR="002C780B">
        <w:rPr>
          <w:rStyle w:val="SubtleEmphasis"/>
        </w:rPr>
        <w:t xml:space="preserve"> funding for</w:t>
      </w:r>
      <w:r>
        <w:rPr>
          <w:rStyle w:val="SubtleEmphasis"/>
        </w:rPr>
        <w:t xml:space="preserve"> disability services has increased at an average of </w:t>
      </w:r>
      <w:r w:rsidR="00421E91">
        <w:rPr>
          <w:rStyle w:val="SubtleEmphasis"/>
        </w:rPr>
        <w:t>14</w:t>
      </w:r>
      <w:r>
        <w:rPr>
          <w:rStyle w:val="SubtleEmphasis"/>
        </w:rPr>
        <w:t xml:space="preserve"> per cent per annum</w:t>
      </w:r>
      <w:r w:rsidR="00F47CE9">
        <w:rPr>
          <w:rStyle w:val="SubtleEmphasis"/>
        </w:rPr>
        <w:t xml:space="preserve"> over the past </w:t>
      </w:r>
      <w:r w:rsidR="00421E91">
        <w:rPr>
          <w:rStyle w:val="SubtleEmphasis"/>
        </w:rPr>
        <w:t>six</w:t>
      </w:r>
      <w:r>
        <w:rPr>
          <w:rStyle w:val="SubtleEmphasis"/>
        </w:rPr>
        <w:t xml:space="preserve"> years (including indexation).</w:t>
      </w:r>
    </w:p>
    <w:p w:rsidR="008D2E57" w:rsidRDefault="008D2E57" w:rsidP="00F35CAA">
      <w:pPr>
        <w:tabs>
          <w:tab w:val="left" w:pos="567"/>
        </w:tabs>
        <w:spacing w:line="240" w:lineRule="auto"/>
        <w:ind w:left="0" w:right="0"/>
        <w:rPr>
          <w:rStyle w:val="SubtleEmphasis"/>
        </w:rPr>
      </w:pPr>
    </w:p>
    <w:p w:rsidR="008D2E57" w:rsidRDefault="008D2E57" w:rsidP="00F35CAA">
      <w:pPr>
        <w:tabs>
          <w:tab w:val="left" w:pos="567"/>
        </w:tabs>
        <w:spacing w:line="240" w:lineRule="auto"/>
        <w:ind w:left="0" w:right="0"/>
        <w:rPr>
          <w:rStyle w:val="SubtleEmphasis"/>
        </w:rPr>
      </w:pPr>
      <w:r>
        <w:rPr>
          <w:rStyle w:val="SubtleEmphasis"/>
        </w:rPr>
        <w:t xml:space="preserve">This bulletin provides information on funding for services and </w:t>
      </w:r>
      <w:r w:rsidR="00D34C5E">
        <w:rPr>
          <w:rStyle w:val="SubtleEmphasis"/>
        </w:rPr>
        <w:t>individuals and</w:t>
      </w:r>
      <w:r>
        <w:rPr>
          <w:rStyle w:val="SubtleEmphasis"/>
        </w:rPr>
        <w:t xml:space="preserve"> the Commission</w:t>
      </w:r>
      <w:r w:rsidR="00961AA0">
        <w:rPr>
          <w:rStyle w:val="SubtleEmphasis"/>
        </w:rPr>
        <w:t>’s</w:t>
      </w:r>
      <w:r w:rsidR="002C780B">
        <w:rPr>
          <w:rStyle w:val="SubtleEmphasis"/>
        </w:rPr>
        <w:t xml:space="preserve"> existing </w:t>
      </w:r>
      <w:r>
        <w:rPr>
          <w:rStyle w:val="SubtleEmphasis"/>
        </w:rPr>
        <w:t>expenditure on people with disability</w:t>
      </w:r>
      <w:r w:rsidR="002C780B">
        <w:rPr>
          <w:rStyle w:val="SubtleEmphasis"/>
        </w:rPr>
        <w:t xml:space="preserve"> in Western Australia</w:t>
      </w:r>
      <w:r>
        <w:rPr>
          <w:rStyle w:val="SubtleEmphasis"/>
        </w:rPr>
        <w:t>.</w:t>
      </w:r>
      <w:r w:rsidR="00B23483">
        <w:rPr>
          <w:rStyle w:val="SubtleEmphasis"/>
        </w:rPr>
        <w:t xml:space="preserve"> </w:t>
      </w:r>
      <w:r>
        <w:rPr>
          <w:rStyle w:val="SubtleEmphasis"/>
        </w:rPr>
        <w:t xml:space="preserve"> In the 2012/13 financial year</w:t>
      </w:r>
      <w:r w:rsidR="00EB670F">
        <w:rPr>
          <w:rStyle w:val="SubtleEmphasis"/>
        </w:rPr>
        <w:t>,</w:t>
      </w:r>
      <w:r>
        <w:rPr>
          <w:rStyle w:val="SubtleEmphasis"/>
        </w:rPr>
        <w:t xml:space="preserve"> </w:t>
      </w:r>
      <w:r w:rsidR="00D3081A">
        <w:rPr>
          <w:rStyle w:val="SubtleEmphasis"/>
        </w:rPr>
        <w:t xml:space="preserve">$48.5 million of new funding was available for people with disability, their families and carers, </w:t>
      </w:r>
      <w:r w:rsidR="00B969EA">
        <w:rPr>
          <w:rStyle w:val="SubtleEmphasis"/>
        </w:rPr>
        <w:t xml:space="preserve">of which </w:t>
      </w:r>
      <w:r>
        <w:rPr>
          <w:rStyle w:val="SubtleEmphasis"/>
        </w:rPr>
        <w:t>$</w:t>
      </w:r>
      <w:r w:rsidR="002C780B">
        <w:rPr>
          <w:rStyle w:val="SubtleEmphasis"/>
        </w:rPr>
        <w:t>33.7</w:t>
      </w:r>
      <w:r>
        <w:rPr>
          <w:rStyle w:val="SubtleEmphasis"/>
        </w:rPr>
        <w:t xml:space="preserve"> million </w:t>
      </w:r>
      <w:r w:rsidR="00C47AB8">
        <w:rPr>
          <w:rStyle w:val="SubtleEmphasis"/>
        </w:rPr>
        <w:t xml:space="preserve">was </w:t>
      </w:r>
      <w:r>
        <w:rPr>
          <w:rStyle w:val="SubtleEmphasis"/>
        </w:rPr>
        <w:t xml:space="preserve">provided for new </w:t>
      </w:r>
      <w:r w:rsidR="002C780B">
        <w:rPr>
          <w:rStyle w:val="SubtleEmphasis"/>
        </w:rPr>
        <w:t xml:space="preserve">recurrent </w:t>
      </w:r>
      <w:r>
        <w:rPr>
          <w:rStyle w:val="SubtleEmphasis"/>
        </w:rPr>
        <w:t>services to individuals</w:t>
      </w:r>
      <w:r w:rsidR="00D3081A">
        <w:rPr>
          <w:rStyle w:val="SubtleEmphasis"/>
        </w:rPr>
        <w:t xml:space="preserve"> and $14.8 million for supports that include</w:t>
      </w:r>
      <w:r w:rsidR="00F47CE9">
        <w:rPr>
          <w:rStyle w:val="SubtleEmphasis"/>
        </w:rPr>
        <w:t>d</w:t>
      </w:r>
      <w:r w:rsidR="00D3081A">
        <w:rPr>
          <w:rStyle w:val="SubtleEmphasis"/>
        </w:rPr>
        <w:t xml:space="preserve"> Local Area Resource funding, continence management and aids and equipment</w:t>
      </w:r>
      <w:r>
        <w:rPr>
          <w:rStyle w:val="SubtleEmphasis"/>
        </w:rPr>
        <w:t xml:space="preserve">. </w:t>
      </w:r>
      <w:r w:rsidR="00B23483">
        <w:rPr>
          <w:rStyle w:val="SubtleEmphasis"/>
        </w:rPr>
        <w:t xml:space="preserve"> </w:t>
      </w:r>
      <w:r>
        <w:rPr>
          <w:rStyle w:val="SubtleEmphasis"/>
        </w:rPr>
        <w:t xml:space="preserve">This represents nearly </w:t>
      </w:r>
      <w:r w:rsidR="002C780B">
        <w:rPr>
          <w:rStyle w:val="SubtleEmphasis"/>
        </w:rPr>
        <w:t>six</w:t>
      </w:r>
      <w:r>
        <w:rPr>
          <w:rStyle w:val="SubtleEmphasis"/>
        </w:rPr>
        <w:t xml:space="preserve"> per cent of the Commission’s expenditure on </w:t>
      </w:r>
      <w:r w:rsidR="002C780B">
        <w:rPr>
          <w:rStyle w:val="SubtleEmphasis"/>
        </w:rPr>
        <w:t xml:space="preserve">individualised </w:t>
      </w:r>
      <w:r>
        <w:rPr>
          <w:rStyle w:val="SubtleEmphasis"/>
        </w:rPr>
        <w:t>services for people w</w:t>
      </w:r>
      <w:r w:rsidR="002C780B">
        <w:rPr>
          <w:rStyle w:val="SubtleEmphasis"/>
        </w:rPr>
        <w:t>ith disability</w:t>
      </w:r>
      <w:r w:rsidR="00F47CE9">
        <w:rPr>
          <w:rStyle w:val="SubtleEmphasis"/>
        </w:rPr>
        <w:t>,</w:t>
      </w:r>
      <w:r w:rsidR="002C780B">
        <w:rPr>
          <w:rStyle w:val="SubtleEmphasis"/>
        </w:rPr>
        <w:t xml:space="preserve"> which reached </w:t>
      </w:r>
      <w:r w:rsidR="00F47CE9">
        <w:rPr>
          <w:rStyle w:val="SubtleEmphasis"/>
        </w:rPr>
        <w:t xml:space="preserve">more than </w:t>
      </w:r>
      <w:r w:rsidR="002C780B">
        <w:rPr>
          <w:rStyle w:val="SubtleEmphasis"/>
        </w:rPr>
        <w:t>$600</w:t>
      </w:r>
      <w:r>
        <w:rPr>
          <w:rStyle w:val="SubtleEmphasis"/>
        </w:rPr>
        <w:t xml:space="preserve"> million in the past year.</w:t>
      </w:r>
      <w:r w:rsidR="00B23483">
        <w:rPr>
          <w:rStyle w:val="SubtleEmphasis"/>
        </w:rPr>
        <w:t xml:space="preserve"> </w:t>
      </w:r>
      <w:r w:rsidR="002C780B">
        <w:rPr>
          <w:rStyle w:val="SubtleEmphasis"/>
        </w:rPr>
        <w:t xml:space="preserve"> </w:t>
      </w:r>
      <w:r w:rsidR="00D3081A">
        <w:rPr>
          <w:rStyle w:val="SubtleEmphasis"/>
        </w:rPr>
        <w:t>Funding for services provided to individuals is referred to as individualised funding.</w:t>
      </w:r>
      <w:r w:rsidR="00732411">
        <w:rPr>
          <w:rStyle w:val="SubtleEmphasis"/>
        </w:rPr>
        <w:t xml:space="preserve"> </w:t>
      </w:r>
      <w:r w:rsidR="00B23483">
        <w:rPr>
          <w:rStyle w:val="SubtleEmphasis"/>
        </w:rPr>
        <w:t xml:space="preserve"> </w:t>
      </w:r>
      <w:r w:rsidR="008221FD" w:rsidRPr="00B26A50">
        <w:rPr>
          <w:rStyle w:val="SubtleEmphasis"/>
          <w:b/>
        </w:rPr>
        <w:t>Table 1</w:t>
      </w:r>
      <w:r w:rsidR="00732411">
        <w:rPr>
          <w:rStyle w:val="SubtleEmphasis"/>
        </w:rPr>
        <w:t xml:space="preserve"> details the </w:t>
      </w:r>
      <w:r w:rsidR="00DC530E">
        <w:rPr>
          <w:rStyle w:val="SubtleEmphasis"/>
        </w:rPr>
        <w:t xml:space="preserve">streams </w:t>
      </w:r>
      <w:r w:rsidR="00EC110D">
        <w:rPr>
          <w:rStyle w:val="SubtleEmphasis"/>
        </w:rPr>
        <w:t xml:space="preserve">and dollar value of </w:t>
      </w:r>
      <w:r w:rsidR="00732411">
        <w:rPr>
          <w:rStyle w:val="SubtleEmphasis"/>
        </w:rPr>
        <w:t xml:space="preserve">growth </w:t>
      </w:r>
      <w:r w:rsidR="00DC530E">
        <w:rPr>
          <w:rStyle w:val="SubtleEmphasis"/>
        </w:rPr>
        <w:t>allocations</w:t>
      </w:r>
      <w:r w:rsidR="008221FD">
        <w:rPr>
          <w:rStyle w:val="SubtleEmphasis"/>
        </w:rPr>
        <w:t xml:space="preserve"> in 2012/13</w:t>
      </w:r>
      <w:r w:rsidR="006967B5">
        <w:rPr>
          <w:rStyle w:val="SubtleEmphasis"/>
        </w:rPr>
        <w:t xml:space="preserve"> and the number of people who accessed supports and services through these </w:t>
      </w:r>
      <w:r w:rsidR="009A184D">
        <w:rPr>
          <w:rStyle w:val="SubtleEmphasis"/>
        </w:rPr>
        <w:t>funding streams</w:t>
      </w:r>
      <w:r w:rsidR="008221FD">
        <w:rPr>
          <w:rStyle w:val="SubtleEmphasis"/>
        </w:rPr>
        <w:t>.</w:t>
      </w:r>
    </w:p>
    <w:p w:rsidR="008D2E57" w:rsidRPr="00B23483" w:rsidRDefault="008D2E57" w:rsidP="00F35CAA">
      <w:pPr>
        <w:pStyle w:val="Heading2"/>
        <w:keepNext w:val="0"/>
        <w:keepLines w:val="0"/>
        <w:tabs>
          <w:tab w:val="left" w:pos="567"/>
        </w:tabs>
        <w:spacing w:after="0"/>
        <w:ind w:left="0"/>
        <w:rPr>
          <w:rStyle w:val="SubtleEmphasis"/>
          <w:b w:val="0"/>
        </w:rPr>
      </w:pPr>
    </w:p>
    <w:p w:rsidR="00020677" w:rsidRDefault="00020677" w:rsidP="00B23483">
      <w:pPr>
        <w:pStyle w:val="tabletitle"/>
        <w:tabs>
          <w:tab w:val="left" w:pos="567"/>
        </w:tabs>
        <w:spacing w:before="0" w:after="120"/>
        <w:ind w:left="0"/>
        <w:rPr>
          <w:color w:val="000000" w:themeColor="text1"/>
          <w:sz w:val="24"/>
          <w:szCs w:val="24"/>
        </w:rPr>
      </w:pPr>
      <w:r w:rsidRPr="007F1B85">
        <w:rPr>
          <w:color w:val="000000" w:themeColor="text1"/>
          <w:sz w:val="24"/>
          <w:szCs w:val="24"/>
        </w:rPr>
        <w:t xml:space="preserve">Table </w:t>
      </w:r>
      <w:r w:rsidRPr="007F1B85">
        <w:rPr>
          <w:color w:val="000000" w:themeColor="text1"/>
          <w:sz w:val="24"/>
          <w:szCs w:val="24"/>
        </w:rPr>
        <w:fldChar w:fldCharType="begin"/>
      </w:r>
      <w:r w:rsidRPr="007F1B85">
        <w:rPr>
          <w:color w:val="000000" w:themeColor="text1"/>
          <w:sz w:val="24"/>
          <w:szCs w:val="24"/>
        </w:rPr>
        <w:instrText xml:space="preserve"> SEQ Table \* ARABIC </w:instrText>
      </w:r>
      <w:r w:rsidRPr="007F1B85">
        <w:rPr>
          <w:color w:val="000000" w:themeColor="text1"/>
          <w:sz w:val="24"/>
          <w:szCs w:val="24"/>
        </w:rPr>
        <w:fldChar w:fldCharType="separate"/>
      </w:r>
      <w:r w:rsidR="00F83D5A">
        <w:rPr>
          <w:noProof/>
          <w:color w:val="000000" w:themeColor="text1"/>
          <w:sz w:val="24"/>
          <w:szCs w:val="24"/>
        </w:rPr>
        <w:t>1</w:t>
      </w:r>
      <w:r w:rsidRPr="007F1B85">
        <w:rPr>
          <w:color w:val="000000" w:themeColor="text1"/>
          <w:sz w:val="24"/>
          <w:szCs w:val="24"/>
        </w:rPr>
        <w:fldChar w:fldCharType="end"/>
      </w:r>
      <w:r w:rsidRPr="007F1B85">
        <w:rPr>
          <w:color w:val="000000" w:themeColor="text1"/>
          <w:sz w:val="24"/>
          <w:szCs w:val="24"/>
        </w:rPr>
        <w:t xml:space="preserve">: </w:t>
      </w:r>
      <w:r w:rsidR="006967B5">
        <w:rPr>
          <w:color w:val="000000" w:themeColor="text1"/>
          <w:sz w:val="24"/>
          <w:szCs w:val="24"/>
        </w:rPr>
        <w:t>New growth funding allocated by funding stream and the number of people who accessed support</w:t>
      </w:r>
      <w:r w:rsidR="00EC110D">
        <w:rPr>
          <w:color w:val="000000" w:themeColor="text1"/>
          <w:sz w:val="24"/>
          <w:szCs w:val="24"/>
        </w:rPr>
        <w:t xml:space="preserve"> in 2012/13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21"/>
        <w:gridCol w:w="1765"/>
        <w:gridCol w:w="1768"/>
      </w:tblGrid>
      <w:tr w:rsidR="002901E7" w:rsidTr="00276690">
        <w:tc>
          <w:tcPr>
            <w:tcW w:w="6628" w:type="dxa"/>
            <w:shd w:val="clear" w:color="auto" w:fill="E4EBF4"/>
          </w:tcPr>
          <w:p w:rsidR="002901E7" w:rsidRDefault="002901E7" w:rsidP="002901E7">
            <w:pPr>
              <w:pStyle w:val="tabletext"/>
              <w:tabs>
                <w:tab w:val="left" w:pos="567"/>
              </w:tabs>
              <w:spacing w:before="0" w:after="0"/>
              <w:ind w:left="0"/>
              <w:rPr>
                <w:szCs w:val="24"/>
              </w:rPr>
            </w:pPr>
            <w:r w:rsidRPr="00F43D9A">
              <w:rPr>
                <w:rStyle w:val="SubtleEmphasis"/>
              </w:rPr>
              <w:t>Individualised funding accessed through the Combined Application Process, including Accommodation Support, Alternatives to Employment and Intensive Family Support</w:t>
            </w:r>
            <w:r>
              <w:rPr>
                <w:rStyle w:val="SubtleEmphasis"/>
              </w:rPr>
              <w:t xml:space="preserve"> (see Note 1 below)</w:t>
            </w:r>
          </w:p>
        </w:tc>
        <w:tc>
          <w:tcPr>
            <w:tcW w:w="1826" w:type="dxa"/>
            <w:shd w:val="clear" w:color="auto" w:fill="E4EBF4"/>
          </w:tcPr>
          <w:p w:rsidR="002901E7" w:rsidRDefault="002901E7" w:rsidP="00276690">
            <w:pPr>
              <w:pStyle w:val="tabletext"/>
              <w:tabs>
                <w:tab w:val="left" w:pos="567"/>
              </w:tabs>
              <w:spacing w:before="0" w:after="0"/>
              <w:ind w:left="0"/>
              <w:rPr>
                <w:szCs w:val="24"/>
              </w:rPr>
            </w:pPr>
            <w:r>
              <w:rPr>
                <w:szCs w:val="24"/>
              </w:rPr>
              <w:t>$23.6 million</w:t>
            </w:r>
          </w:p>
        </w:tc>
        <w:tc>
          <w:tcPr>
            <w:tcW w:w="1826" w:type="dxa"/>
            <w:shd w:val="clear" w:color="auto" w:fill="E4EBF4"/>
          </w:tcPr>
          <w:p w:rsidR="002901E7" w:rsidRDefault="002901E7" w:rsidP="00276690">
            <w:pPr>
              <w:pStyle w:val="tabletext"/>
              <w:tabs>
                <w:tab w:val="left" w:pos="567"/>
              </w:tabs>
              <w:spacing w:before="0" w:after="0"/>
              <w:ind w:left="0"/>
              <w:rPr>
                <w:szCs w:val="24"/>
              </w:rPr>
            </w:pPr>
            <w:r>
              <w:rPr>
                <w:szCs w:val="24"/>
              </w:rPr>
              <w:t>294 people</w:t>
            </w:r>
          </w:p>
        </w:tc>
      </w:tr>
      <w:tr w:rsidR="002901E7" w:rsidTr="00276690">
        <w:tc>
          <w:tcPr>
            <w:tcW w:w="6628" w:type="dxa"/>
          </w:tcPr>
          <w:p w:rsidR="002901E7" w:rsidRDefault="002901E7" w:rsidP="00276690">
            <w:pPr>
              <w:pStyle w:val="tabletext"/>
              <w:tabs>
                <w:tab w:val="left" w:pos="567"/>
              </w:tabs>
              <w:spacing w:before="0" w:after="0"/>
              <w:ind w:left="0"/>
              <w:rPr>
                <w:szCs w:val="24"/>
              </w:rPr>
            </w:pPr>
            <w:r w:rsidRPr="00F43D9A">
              <w:rPr>
                <w:rStyle w:val="SubtleEmphasis"/>
                <w:szCs w:val="24"/>
              </w:rPr>
              <w:t>Individualised funding accessed through the Community and Family Living Initiatives</w:t>
            </w:r>
          </w:p>
        </w:tc>
        <w:tc>
          <w:tcPr>
            <w:tcW w:w="1826" w:type="dxa"/>
          </w:tcPr>
          <w:p w:rsidR="002901E7" w:rsidRDefault="002901E7" w:rsidP="00276690">
            <w:pPr>
              <w:pStyle w:val="tabletext"/>
              <w:tabs>
                <w:tab w:val="left" w:pos="567"/>
              </w:tabs>
              <w:spacing w:before="0" w:after="0"/>
              <w:ind w:left="0"/>
              <w:rPr>
                <w:szCs w:val="24"/>
              </w:rPr>
            </w:pPr>
            <w:r>
              <w:rPr>
                <w:szCs w:val="24"/>
              </w:rPr>
              <w:t>$4.2 million</w:t>
            </w:r>
          </w:p>
        </w:tc>
        <w:tc>
          <w:tcPr>
            <w:tcW w:w="1826" w:type="dxa"/>
          </w:tcPr>
          <w:p w:rsidR="002901E7" w:rsidRDefault="002901E7" w:rsidP="00276690">
            <w:pPr>
              <w:pStyle w:val="tabletext"/>
              <w:tabs>
                <w:tab w:val="left" w:pos="567"/>
              </w:tabs>
              <w:spacing w:before="0" w:after="0"/>
              <w:ind w:left="0"/>
              <w:rPr>
                <w:szCs w:val="24"/>
              </w:rPr>
            </w:pPr>
            <w:r>
              <w:rPr>
                <w:szCs w:val="24"/>
              </w:rPr>
              <w:t>241 people</w:t>
            </w:r>
          </w:p>
        </w:tc>
      </w:tr>
      <w:tr w:rsidR="002901E7" w:rsidTr="00276690">
        <w:tc>
          <w:tcPr>
            <w:tcW w:w="6628" w:type="dxa"/>
            <w:shd w:val="clear" w:color="auto" w:fill="E4EBF4"/>
          </w:tcPr>
          <w:p w:rsidR="002901E7" w:rsidRDefault="002901E7" w:rsidP="00276690">
            <w:pPr>
              <w:pStyle w:val="tabletext"/>
              <w:tabs>
                <w:tab w:val="left" w:pos="567"/>
              </w:tabs>
              <w:spacing w:before="0" w:after="0"/>
              <w:ind w:left="0"/>
              <w:rPr>
                <w:rStyle w:val="SubtleEmphasis"/>
                <w:szCs w:val="24"/>
              </w:rPr>
            </w:pPr>
            <w:r w:rsidRPr="00F43D9A">
              <w:rPr>
                <w:rStyle w:val="SubtleEmphasis"/>
                <w:szCs w:val="24"/>
              </w:rPr>
              <w:t>Individualised funding accessed through</w:t>
            </w:r>
            <w:r>
              <w:rPr>
                <w:rStyle w:val="SubtleEmphasis"/>
                <w:szCs w:val="24"/>
              </w:rPr>
              <w:t>:</w:t>
            </w:r>
            <w:r w:rsidRPr="00F43D9A">
              <w:rPr>
                <w:rStyle w:val="SubtleEmphasis"/>
                <w:szCs w:val="24"/>
              </w:rPr>
              <w:t xml:space="preserve"> </w:t>
            </w:r>
          </w:p>
          <w:p w:rsidR="002901E7" w:rsidRDefault="002901E7" w:rsidP="00276690">
            <w:pPr>
              <w:pStyle w:val="tabletext"/>
              <w:numPr>
                <w:ilvl w:val="0"/>
                <w:numId w:val="10"/>
              </w:numPr>
              <w:tabs>
                <w:tab w:val="left" w:pos="567"/>
              </w:tabs>
              <w:spacing w:before="0" w:after="0"/>
              <w:rPr>
                <w:rStyle w:val="SubtleEmphasis"/>
                <w:szCs w:val="24"/>
              </w:rPr>
            </w:pPr>
            <w:r w:rsidRPr="00F43D9A">
              <w:rPr>
                <w:rStyle w:val="SubtleEmphasis"/>
                <w:szCs w:val="24"/>
              </w:rPr>
              <w:t>Post School Options</w:t>
            </w:r>
            <w:r>
              <w:rPr>
                <w:rStyle w:val="SubtleEmphasis"/>
                <w:szCs w:val="24"/>
              </w:rPr>
              <w:t xml:space="preserve"> or</w:t>
            </w:r>
            <w:r w:rsidRPr="00F43D9A">
              <w:rPr>
                <w:rStyle w:val="SubtleEmphasis"/>
                <w:szCs w:val="24"/>
              </w:rPr>
              <w:t xml:space="preserve"> </w:t>
            </w:r>
          </w:p>
          <w:p w:rsidR="002901E7" w:rsidRDefault="002901E7" w:rsidP="00276690">
            <w:pPr>
              <w:pStyle w:val="tabletext"/>
              <w:numPr>
                <w:ilvl w:val="0"/>
                <w:numId w:val="10"/>
              </w:numPr>
              <w:tabs>
                <w:tab w:val="left" w:pos="567"/>
              </w:tabs>
              <w:spacing w:before="0" w:after="0"/>
              <w:rPr>
                <w:szCs w:val="24"/>
              </w:rPr>
            </w:pPr>
            <w:r w:rsidRPr="00AC0BC5">
              <w:rPr>
                <w:rStyle w:val="SubtleEmphasis"/>
                <w:szCs w:val="24"/>
              </w:rPr>
              <w:t>Local Area Resource Funding</w:t>
            </w:r>
          </w:p>
        </w:tc>
        <w:tc>
          <w:tcPr>
            <w:tcW w:w="1826" w:type="dxa"/>
            <w:shd w:val="clear" w:color="auto" w:fill="E4EBF4"/>
          </w:tcPr>
          <w:p w:rsidR="002901E7" w:rsidRDefault="002901E7" w:rsidP="00276690">
            <w:pPr>
              <w:pStyle w:val="tabletext"/>
              <w:tabs>
                <w:tab w:val="left" w:pos="567"/>
              </w:tabs>
              <w:spacing w:before="0" w:after="0"/>
              <w:ind w:left="0"/>
              <w:rPr>
                <w:szCs w:val="24"/>
              </w:rPr>
            </w:pPr>
          </w:p>
          <w:p w:rsidR="002901E7" w:rsidRDefault="002901E7" w:rsidP="00276690">
            <w:pPr>
              <w:pStyle w:val="tabletext"/>
              <w:tabs>
                <w:tab w:val="left" w:pos="567"/>
              </w:tabs>
              <w:spacing w:before="0" w:after="0"/>
              <w:ind w:left="0"/>
              <w:rPr>
                <w:szCs w:val="24"/>
              </w:rPr>
            </w:pPr>
            <w:r>
              <w:rPr>
                <w:szCs w:val="24"/>
              </w:rPr>
              <w:t xml:space="preserve">$5.9 million </w:t>
            </w:r>
          </w:p>
          <w:p w:rsidR="002901E7" w:rsidRDefault="002901E7" w:rsidP="00276690">
            <w:pPr>
              <w:pStyle w:val="tabletext"/>
              <w:tabs>
                <w:tab w:val="left" w:pos="567"/>
              </w:tabs>
              <w:spacing w:before="0" w:after="0"/>
              <w:ind w:left="0"/>
              <w:rPr>
                <w:szCs w:val="24"/>
              </w:rPr>
            </w:pPr>
            <w:r>
              <w:rPr>
                <w:szCs w:val="24"/>
              </w:rPr>
              <w:t>$1.9 million</w:t>
            </w:r>
          </w:p>
          <w:p w:rsidR="002901E7" w:rsidRDefault="002901E7" w:rsidP="00276690">
            <w:pPr>
              <w:pStyle w:val="tabletext"/>
              <w:tabs>
                <w:tab w:val="left" w:pos="567"/>
              </w:tabs>
              <w:spacing w:before="0" w:after="0"/>
              <w:ind w:left="0"/>
              <w:rPr>
                <w:szCs w:val="24"/>
              </w:rPr>
            </w:pPr>
          </w:p>
        </w:tc>
        <w:tc>
          <w:tcPr>
            <w:tcW w:w="1826" w:type="dxa"/>
            <w:shd w:val="clear" w:color="auto" w:fill="E4EBF4"/>
          </w:tcPr>
          <w:p w:rsidR="002901E7" w:rsidRDefault="002901E7" w:rsidP="00276690">
            <w:pPr>
              <w:pStyle w:val="tabletext"/>
              <w:tabs>
                <w:tab w:val="left" w:pos="567"/>
              </w:tabs>
              <w:spacing w:before="0" w:after="0"/>
              <w:ind w:left="0"/>
              <w:rPr>
                <w:szCs w:val="24"/>
              </w:rPr>
            </w:pPr>
          </w:p>
          <w:p w:rsidR="002901E7" w:rsidRDefault="002901E7" w:rsidP="00276690">
            <w:pPr>
              <w:pStyle w:val="tabletext"/>
              <w:tabs>
                <w:tab w:val="left" w:pos="567"/>
              </w:tabs>
              <w:spacing w:before="0" w:after="0"/>
              <w:ind w:left="0"/>
              <w:rPr>
                <w:szCs w:val="24"/>
              </w:rPr>
            </w:pPr>
            <w:r>
              <w:rPr>
                <w:szCs w:val="24"/>
              </w:rPr>
              <w:t>248 people</w:t>
            </w:r>
          </w:p>
          <w:p w:rsidR="002901E7" w:rsidRDefault="002901E7" w:rsidP="00276690">
            <w:pPr>
              <w:pStyle w:val="tabletext"/>
              <w:tabs>
                <w:tab w:val="left" w:pos="567"/>
              </w:tabs>
              <w:spacing w:before="0" w:after="0"/>
              <w:ind w:left="0"/>
              <w:rPr>
                <w:szCs w:val="24"/>
              </w:rPr>
            </w:pPr>
            <w:r>
              <w:rPr>
                <w:szCs w:val="24"/>
              </w:rPr>
              <w:t>1,348 people</w:t>
            </w:r>
          </w:p>
        </w:tc>
      </w:tr>
      <w:tr w:rsidR="002901E7" w:rsidTr="00276690">
        <w:tc>
          <w:tcPr>
            <w:tcW w:w="6628" w:type="dxa"/>
            <w:shd w:val="clear" w:color="auto" w:fill="auto"/>
          </w:tcPr>
          <w:p w:rsidR="002901E7" w:rsidRPr="002901E7" w:rsidRDefault="002901E7" w:rsidP="00276690">
            <w:pPr>
              <w:pStyle w:val="tabletext"/>
              <w:tabs>
                <w:tab w:val="left" w:pos="567"/>
              </w:tabs>
              <w:spacing w:before="0" w:after="0"/>
              <w:ind w:left="0"/>
              <w:rPr>
                <w:rStyle w:val="SubtleEmphasis"/>
                <w:szCs w:val="24"/>
              </w:rPr>
            </w:pPr>
            <w:r w:rsidRPr="002901E7">
              <w:rPr>
                <w:rStyle w:val="SubtleEmphasis"/>
                <w:szCs w:val="24"/>
              </w:rPr>
              <w:t>Supports and equipment accessed through the Community Aids and Equipment Program and the Incontinence Pad Scheme</w:t>
            </w:r>
          </w:p>
          <w:p w:rsidR="002901E7" w:rsidRDefault="002901E7" w:rsidP="00276690">
            <w:pPr>
              <w:pStyle w:val="tabletext"/>
              <w:tabs>
                <w:tab w:val="left" w:pos="567"/>
              </w:tabs>
              <w:spacing w:before="0" w:after="0"/>
              <w:ind w:left="0"/>
              <w:rPr>
                <w:szCs w:val="24"/>
              </w:rPr>
            </w:pPr>
          </w:p>
        </w:tc>
        <w:tc>
          <w:tcPr>
            <w:tcW w:w="1826" w:type="dxa"/>
            <w:shd w:val="clear" w:color="auto" w:fill="auto"/>
          </w:tcPr>
          <w:p w:rsidR="002901E7" w:rsidRDefault="002901E7" w:rsidP="00276690">
            <w:pPr>
              <w:pStyle w:val="tabletext"/>
              <w:tabs>
                <w:tab w:val="left" w:pos="567"/>
              </w:tabs>
              <w:spacing w:before="0" w:after="0"/>
              <w:ind w:left="0"/>
              <w:rPr>
                <w:szCs w:val="24"/>
              </w:rPr>
            </w:pPr>
            <w:r>
              <w:rPr>
                <w:szCs w:val="24"/>
              </w:rPr>
              <w:t>$12.9 million</w:t>
            </w:r>
          </w:p>
        </w:tc>
        <w:tc>
          <w:tcPr>
            <w:tcW w:w="1826" w:type="dxa"/>
            <w:shd w:val="clear" w:color="auto" w:fill="auto"/>
          </w:tcPr>
          <w:p w:rsidR="002901E7" w:rsidRDefault="002901E7" w:rsidP="00276690">
            <w:pPr>
              <w:pStyle w:val="tabletext"/>
              <w:tabs>
                <w:tab w:val="left" w:pos="567"/>
              </w:tabs>
              <w:spacing w:before="0" w:after="0"/>
              <w:ind w:left="0"/>
              <w:rPr>
                <w:szCs w:val="24"/>
              </w:rPr>
            </w:pPr>
            <w:r>
              <w:rPr>
                <w:szCs w:val="24"/>
              </w:rPr>
              <w:t>8,883 people</w:t>
            </w:r>
          </w:p>
        </w:tc>
      </w:tr>
    </w:tbl>
    <w:p w:rsidR="006967B5" w:rsidRDefault="006967B5" w:rsidP="00F35CAA">
      <w:pPr>
        <w:pStyle w:val="tabletitle"/>
        <w:tabs>
          <w:tab w:val="left" w:pos="567"/>
        </w:tabs>
        <w:spacing w:before="0" w:after="0"/>
        <w:ind w:left="0"/>
        <w:rPr>
          <w:rStyle w:val="SubtleEmphasis"/>
          <w:sz w:val="26"/>
          <w:szCs w:val="26"/>
        </w:rPr>
      </w:pPr>
      <w:r w:rsidRPr="008D2E57">
        <w:rPr>
          <w:rStyle w:val="SubtleEmphasis"/>
          <w:sz w:val="26"/>
          <w:szCs w:val="26"/>
        </w:rPr>
        <w:t>$</w:t>
      </w:r>
      <w:r>
        <w:rPr>
          <w:rStyle w:val="SubtleEmphasis"/>
          <w:sz w:val="26"/>
          <w:szCs w:val="26"/>
        </w:rPr>
        <w:t>48.5 million t</w:t>
      </w:r>
      <w:r w:rsidRPr="008D2E57">
        <w:rPr>
          <w:rStyle w:val="SubtleEmphasis"/>
          <w:sz w:val="26"/>
          <w:szCs w:val="26"/>
        </w:rPr>
        <w:t>otal funding allocated</w:t>
      </w:r>
    </w:p>
    <w:p w:rsidR="00174112" w:rsidRDefault="00174112" w:rsidP="00F35CAA">
      <w:pPr>
        <w:pStyle w:val="tabletitle"/>
        <w:tabs>
          <w:tab w:val="left" w:pos="567"/>
        </w:tabs>
        <w:spacing w:before="0" w:after="0"/>
        <w:ind w:left="0"/>
        <w:rPr>
          <w:rStyle w:val="SubtleEmphasis"/>
          <w:sz w:val="26"/>
          <w:szCs w:val="26"/>
        </w:rPr>
      </w:pPr>
    </w:p>
    <w:p w:rsidR="00174112" w:rsidRPr="00174112" w:rsidRDefault="00174112" w:rsidP="00F35CAA">
      <w:pPr>
        <w:tabs>
          <w:tab w:val="left" w:pos="567"/>
        </w:tabs>
        <w:spacing w:line="240" w:lineRule="auto"/>
        <w:ind w:left="0"/>
        <w:rPr>
          <w:rStyle w:val="SubtleEmphasis"/>
        </w:rPr>
      </w:pPr>
      <w:r w:rsidRPr="00174112">
        <w:rPr>
          <w:rStyle w:val="SubtleEmphasis"/>
        </w:rPr>
        <w:t>Note 1: Accommodation Support includes funding for people to live in out-of-home accommodation arrangements or with support in their own home.</w:t>
      </w:r>
    </w:p>
    <w:p w:rsidR="006967B5" w:rsidRPr="00B23483" w:rsidRDefault="006967B5" w:rsidP="00F35CAA">
      <w:pPr>
        <w:pStyle w:val="tabletitle"/>
        <w:tabs>
          <w:tab w:val="left" w:pos="567"/>
        </w:tabs>
        <w:spacing w:before="0" w:after="0"/>
        <w:ind w:left="0"/>
        <w:rPr>
          <w:b w:val="0"/>
          <w:color w:val="000000" w:themeColor="text1"/>
          <w:szCs w:val="24"/>
        </w:rPr>
      </w:pPr>
    </w:p>
    <w:p w:rsidR="00174112" w:rsidRDefault="00174112" w:rsidP="00F35CAA">
      <w:pPr>
        <w:widowControl/>
        <w:tabs>
          <w:tab w:val="left" w:pos="567"/>
        </w:tabs>
        <w:autoSpaceDE/>
        <w:autoSpaceDN/>
        <w:adjustRightInd/>
        <w:spacing w:line="240" w:lineRule="auto"/>
        <w:ind w:left="0" w:right="0"/>
        <w:rPr>
          <w:rFonts w:eastAsiaTheme="majorEastAsia" w:cstheme="majorBidi"/>
          <w:b/>
          <w:iCs/>
          <w:noProof/>
          <w:color w:val="005E79"/>
          <w:kern w:val="28"/>
          <w:sz w:val="28"/>
          <w:szCs w:val="28"/>
        </w:rPr>
      </w:pPr>
      <w:r>
        <w:rPr>
          <w:sz w:val="28"/>
        </w:rPr>
        <w:br w:type="page"/>
      </w:r>
    </w:p>
    <w:p w:rsidR="00C3101E" w:rsidRPr="00020677" w:rsidRDefault="00C3101E" w:rsidP="00F35CAA">
      <w:pPr>
        <w:pStyle w:val="Heading4"/>
        <w:keepNext w:val="0"/>
        <w:keepLines w:val="0"/>
        <w:tabs>
          <w:tab w:val="left" w:pos="567"/>
        </w:tabs>
        <w:spacing w:after="0"/>
        <w:ind w:left="0"/>
        <w:rPr>
          <w:sz w:val="28"/>
        </w:rPr>
      </w:pPr>
      <w:r w:rsidRPr="00020677">
        <w:rPr>
          <w:sz w:val="28"/>
        </w:rPr>
        <w:lastRenderedPageBreak/>
        <w:t xml:space="preserve">New individualised funding allocated </w:t>
      </w:r>
      <w:r w:rsidR="001E7DE0" w:rsidRPr="00020677">
        <w:rPr>
          <w:sz w:val="28"/>
        </w:rPr>
        <w:t>in</w:t>
      </w:r>
      <w:r w:rsidRPr="00020677">
        <w:rPr>
          <w:sz w:val="28"/>
        </w:rPr>
        <w:t xml:space="preserve"> 2012/13</w:t>
      </w:r>
    </w:p>
    <w:p w:rsidR="00584DA7" w:rsidRDefault="00D3081A" w:rsidP="00F35CAA">
      <w:pPr>
        <w:tabs>
          <w:tab w:val="left" w:pos="567"/>
          <w:tab w:val="left" w:pos="10915"/>
        </w:tabs>
        <w:spacing w:line="240" w:lineRule="auto"/>
        <w:ind w:left="0" w:right="0"/>
        <w:rPr>
          <w:rStyle w:val="SubtleEmphasis"/>
        </w:rPr>
      </w:pPr>
      <w:r>
        <w:rPr>
          <w:rStyle w:val="SubtleEmphasis"/>
        </w:rPr>
        <w:t xml:space="preserve">In 2012/13, </w:t>
      </w:r>
      <w:r w:rsidR="001F6CA3">
        <w:rPr>
          <w:rStyle w:val="SubtleEmphasis"/>
        </w:rPr>
        <w:t>2,</w:t>
      </w:r>
      <w:r w:rsidR="00584DA7">
        <w:rPr>
          <w:rStyle w:val="SubtleEmphasis"/>
        </w:rPr>
        <w:t>131</w:t>
      </w:r>
      <w:r w:rsidR="00C3101E">
        <w:rPr>
          <w:rStyle w:val="SubtleEmphasis"/>
        </w:rPr>
        <w:t xml:space="preserve"> </w:t>
      </w:r>
      <w:r w:rsidR="001E7DE0">
        <w:rPr>
          <w:rStyle w:val="SubtleEmphasis"/>
        </w:rPr>
        <w:t>people received new</w:t>
      </w:r>
      <w:r w:rsidR="00945DEB">
        <w:rPr>
          <w:rStyle w:val="SubtleEmphasis"/>
        </w:rPr>
        <w:t xml:space="preserve"> allocations of</w:t>
      </w:r>
      <w:r w:rsidR="001E7DE0">
        <w:rPr>
          <w:rStyle w:val="SubtleEmphasis"/>
        </w:rPr>
        <w:t xml:space="preserve"> </w:t>
      </w:r>
      <w:r w:rsidR="00584DA7">
        <w:rPr>
          <w:rStyle w:val="SubtleEmphasis"/>
        </w:rPr>
        <w:t xml:space="preserve">Commission-funding. </w:t>
      </w:r>
      <w:r w:rsidR="00B23483">
        <w:rPr>
          <w:rStyle w:val="SubtleEmphasis"/>
        </w:rPr>
        <w:t xml:space="preserve"> </w:t>
      </w:r>
      <w:r w:rsidR="00584DA7">
        <w:rPr>
          <w:rStyle w:val="SubtleEmphasis"/>
        </w:rPr>
        <w:t>This included:</w:t>
      </w:r>
    </w:p>
    <w:p w:rsidR="00584DA7" w:rsidRDefault="00584DA7" w:rsidP="00F35CAA">
      <w:pPr>
        <w:pStyle w:val="ListParagraph"/>
        <w:numPr>
          <w:ilvl w:val="0"/>
          <w:numId w:val="9"/>
        </w:numPr>
        <w:tabs>
          <w:tab w:val="left" w:pos="567"/>
          <w:tab w:val="left" w:pos="10915"/>
        </w:tabs>
        <w:spacing w:line="240" w:lineRule="auto"/>
        <w:ind w:left="0" w:right="0" w:firstLine="0"/>
        <w:contextualSpacing w:val="0"/>
        <w:rPr>
          <w:rStyle w:val="SubtleEmphasis"/>
        </w:rPr>
      </w:pPr>
      <w:r>
        <w:rPr>
          <w:rStyle w:val="SubtleEmphasis"/>
        </w:rPr>
        <w:t>87 people who received new funding for Accommodation Support</w:t>
      </w:r>
    </w:p>
    <w:p w:rsidR="00584DA7" w:rsidRDefault="00584DA7" w:rsidP="00F35CAA">
      <w:pPr>
        <w:pStyle w:val="ListParagraph"/>
        <w:numPr>
          <w:ilvl w:val="0"/>
          <w:numId w:val="9"/>
        </w:numPr>
        <w:tabs>
          <w:tab w:val="left" w:pos="567"/>
          <w:tab w:val="left" w:pos="10915"/>
        </w:tabs>
        <w:spacing w:line="240" w:lineRule="auto"/>
        <w:ind w:left="0" w:right="0" w:firstLine="0"/>
        <w:contextualSpacing w:val="0"/>
        <w:rPr>
          <w:rStyle w:val="SubtleEmphasis"/>
        </w:rPr>
      </w:pPr>
      <w:r>
        <w:rPr>
          <w:rStyle w:val="SubtleEmphasis"/>
        </w:rPr>
        <w:t>112 people who received new funding for Intensive Family Support</w:t>
      </w:r>
    </w:p>
    <w:p w:rsidR="00584DA7" w:rsidRDefault="00584DA7" w:rsidP="00F35CAA">
      <w:pPr>
        <w:pStyle w:val="ListParagraph"/>
        <w:numPr>
          <w:ilvl w:val="0"/>
          <w:numId w:val="9"/>
        </w:numPr>
        <w:tabs>
          <w:tab w:val="left" w:pos="567"/>
          <w:tab w:val="left" w:pos="10915"/>
        </w:tabs>
        <w:spacing w:line="240" w:lineRule="auto"/>
        <w:ind w:left="0" w:right="0" w:firstLine="0"/>
        <w:contextualSpacing w:val="0"/>
        <w:rPr>
          <w:rStyle w:val="SubtleEmphasis"/>
        </w:rPr>
      </w:pPr>
      <w:r>
        <w:rPr>
          <w:rStyle w:val="SubtleEmphasis"/>
        </w:rPr>
        <w:t>63 people who received new funding for Alternatives to Employment</w:t>
      </w:r>
    </w:p>
    <w:p w:rsidR="00584DA7" w:rsidRDefault="00584DA7" w:rsidP="00F35CAA">
      <w:pPr>
        <w:pStyle w:val="ListParagraph"/>
        <w:numPr>
          <w:ilvl w:val="0"/>
          <w:numId w:val="9"/>
        </w:numPr>
        <w:tabs>
          <w:tab w:val="left" w:pos="567"/>
          <w:tab w:val="left" w:pos="10915"/>
        </w:tabs>
        <w:spacing w:line="240" w:lineRule="auto"/>
        <w:ind w:left="0" w:right="0" w:firstLine="0"/>
        <w:contextualSpacing w:val="0"/>
        <w:rPr>
          <w:rStyle w:val="SubtleEmphasis"/>
        </w:rPr>
      </w:pPr>
      <w:r>
        <w:rPr>
          <w:rStyle w:val="SubtleEmphasis"/>
        </w:rPr>
        <w:t>248 people who received new funding for Post School Options</w:t>
      </w:r>
    </w:p>
    <w:p w:rsidR="00584DA7" w:rsidRDefault="00584DA7" w:rsidP="00F35CAA">
      <w:pPr>
        <w:pStyle w:val="ListParagraph"/>
        <w:numPr>
          <w:ilvl w:val="0"/>
          <w:numId w:val="9"/>
        </w:numPr>
        <w:tabs>
          <w:tab w:val="left" w:pos="567"/>
          <w:tab w:val="left" w:pos="10915"/>
        </w:tabs>
        <w:spacing w:line="240" w:lineRule="auto"/>
        <w:ind w:left="0" w:right="0" w:firstLine="0"/>
        <w:contextualSpacing w:val="0"/>
        <w:rPr>
          <w:rStyle w:val="SubtleEmphasis"/>
        </w:rPr>
      </w:pPr>
      <w:r>
        <w:rPr>
          <w:rStyle w:val="SubtleEmphasis"/>
        </w:rPr>
        <w:t>71 people who received new funding for Community Living Initiative</w:t>
      </w:r>
    </w:p>
    <w:p w:rsidR="00584DA7" w:rsidRDefault="00584DA7" w:rsidP="00F35CAA">
      <w:pPr>
        <w:pStyle w:val="ListParagraph"/>
        <w:numPr>
          <w:ilvl w:val="0"/>
          <w:numId w:val="9"/>
        </w:numPr>
        <w:tabs>
          <w:tab w:val="left" w:pos="567"/>
          <w:tab w:val="left" w:pos="10915"/>
        </w:tabs>
        <w:spacing w:line="240" w:lineRule="auto"/>
        <w:ind w:left="0" w:right="0" w:firstLine="0"/>
        <w:contextualSpacing w:val="0"/>
        <w:rPr>
          <w:rStyle w:val="SubtleEmphasis"/>
        </w:rPr>
      </w:pPr>
      <w:r>
        <w:rPr>
          <w:rStyle w:val="SubtleEmphasis"/>
        </w:rPr>
        <w:t>170 people who received new funding for Family Living Initiative</w:t>
      </w:r>
    </w:p>
    <w:p w:rsidR="00584DA7" w:rsidRDefault="00584DA7" w:rsidP="00F35CAA">
      <w:pPr>
        <w:pStyle w:val="ListParagraph"/>
        <w:numPr>
          <w:ilvl w:val="0"/>
          <w:numId w:val="9"/>
        </w:numPr>
        <w:tabs>
          <w:tab w:val="left" w:pos="567"/>
          <w:tab w:val="left" w:pos="10915"/>
        </w:tabs>
        <w:spacing w:line="240" w:lineRule="auto"/>
        <w:ind w:left="567" w:right="0" w:hanging="567"/>
        <w:contextualSpacing w:val="0"/>
        <w:rPr>
          <w:rStyle w:val="SubtleEmphasis"/>
        </w:rPr>
      </w:pPr>
      <w:r>
        <w:rPr>
          <w:rStyle w:val="SubtleEmphasis"/>
        </w:rPr>
        <w:t>32 people who received more funding for increased supports due to their needs changing and becoming more complex over time</w:t>
      </w:r>
    </w:p>
    <w:p w:rsidR="00584DA7" w:rsidRDefault="00584DA7" w:rsidP="00B23483">
      <w:pPr>
        <w:pStyle w:val="ListParagraph"/>
        <w:numPr>
          <w:ilvl w:val="0"/>
          <w:numId w:val="9"/>
        </w:numPr>
        <w:tabs>
          <w:tab w:val="left" w:pos="567"/>
          <w:tab w:val="left" w:pos="10915"/>
        </w:tabs>
        <w:spacing w:line="240" w:lineRule="auto"/>
        <w:ind w:left="567" w:right="0" w:hanging="567"/>
        <w:contextualSpacing w:val="0"/>
        <w:rPr>
          <w:rStyle w:val="SubtleEmphasis"/>
        </w:rPr>
      </w:pPr>
      <w:r>
        <w:rPr>
          <w:rStyle w:val="SubtleEmphasis"/>
        </w:rPr>
        <w:t>1,348 people who received Local Area Resource funding through their Local Area Coordinator or My Way Coordinator.</w:t>
      </w:r>
    </w:p>
    <w:p w:rsidR="00584DA7" w:rsidRDefault="00584DA7" w:rsidP="00F35CAA">
      <w:pPr>
        <w:pStyle w:val="ListParagraph"/>
        <w:tabs>
          <w:tab w:val="left" w:pos="567"/>
          <w:tab w:val="left" w:pos="10915"/>
        </w:tabs>
        <w:spacing w:line="240" w:lineRule="auto"/>
        <w:ind w:left="0" w:right="0"/>
        <w:contextualSpacing w:val="0"/>
        <w:rPr>
          <w:rStyle w:val="SubtleEmphasis"/>
        </w:rPr>
      </w:pPr>
    </w:p>
    <w:p w:rsidR="00C3101E" w:rsidRDefault="0056397A" w:rsidP="00F35CAA">
      <w:pPr>
        <w:tabs>
          <w:tab w:val="left" w:pos="567"/>
          <w:tab w:val="left" w:pos="10915"/>
        </w:tabs>
        <w:spacing w:line="240" w:lineRule="auto"/>
        <w:ind w:left="0" w:right="0"/>
        <w:rPr>
          <w:rStyle w:val="SubtleEmphasis"/>
        </w:rPr>
      </w:pPr>
      <w:r>
        <w:rPr>
          <w:rStyle w:val="SubtleEmphasis"/>
        </w:rPr>
        <w:t>O</w:t>
      </w:r>
      <w:r w:rsidR="00054732">
        <w:rPr>
          <w:rStyle w:val="SubtleEmphasis"/>
        </w:rPr>
        <w:t xml:space="preserve">f the 2,131 people funded, </w:t>
      </w:r>
      <w:r w:rsidR="00F47CE9">
        <w:rPr>
          <w:rStyle w:val="SubtleEmphasis"/>
        </w:rPr>
        <w:t xml:space="preserve">most </w:t>
      </w:r>
      <w:r w:rsidR="00945DEB">
        <w:rPr>
          <w:rStyle w:val="SubtleEmphasis"/>
        </w:rPr>
        <w:t>(</w:t>
      </w:r>
      <w:r w:rsidR="00E827B9">
        <w:rPr>
          <w:rStyle w:val="SubtleEmphasis"/>
        </w:rPr>
        <w:t>76</w:t>
      </w:r>
      <w:r w:rsidR="00945DEB">
        <w:rPr>
          <w:rStyle w:val="SubtleEmphasis"/>
        </w:rPr>
        <w:t xml:space="preserve"> per cent) received</w:t>
      </w:r>
      <w:r w:rsidR="00E827B9">
        <w:rPr>
          <w:rStyle w:val="SubtleEmphasis"/>
        </w:rPr>
        <w:t xml:space="preserve"> funding through</w:t>
      </w:r>
      <w:r w:rsidR="00945DEB">
        <w:rPr>
          <w:rStyle w:val="SubtleEmphasis"/>
        </w:rPr>
        <w:t xml:space="preserve"> </w:t>
      </w:r>
      <w:r w:rsidR="00E827B9">
        <w:rPr>
          <w:rStyle w:val="SubtleEmphasis"/>
        </w:rPr>
        <w:t xml:space="preserve">Local Area Resource Funding and </w:t>
      </w:r>
      <w:r w:rsidR="00945DEB">
        <w:rPr>
          <w:rStyle w:val="SubtleEmphasis"/>
        </w:rPr>
        <w:t>Post School Options, followed by</w:t>
      </w:r>
      <w:r w:rsidR="00E827B9">
        <w:rPr>
          <w:rStyle w:val="SubtleEmphasis"/>
        </w:rPr>
        <w:t xml:space="preserve"> funding accessed through </w:t>
      </w:r>
      <w:r w:rsidR="00EC110D">
        <w:rPr>
          <w:rStyle w:val="SubtleEmphasis"/>
        </w:rPr>
        <w:t xml:space="preserve">the </w:t>
      </w:r>
      <w:r w:rsidR="00E827B9">
        <w:rPr>
          <w:rStyle w:val="SubtleEmphasis"/>
        </w:rPr>
        <w:t>C</w:t>
      </w:r>
      <w:r w:rsidR="00EC110D">
        <w:rPr>
          <w:rStyle w:val="SubtleEmphasis"/>
        </w:rPr>
        <w:t>ombined Application Process (CAP)</w:t>
      </w:r>
      <w:r w:rsidR="00945DEB">
        <w:rPr>
          <w:rStyle w:val="SubtleEmphasis"/>
        </w:rPr>
        <w:t xml:space="preserve"> (</w:t>
      </w:r>
      <w:r w:rsidR="00E827B9">
        <w:rPr>
          <w:rStyle w:val="SubtleEmphasis"/>
        </w:rPr>
        <w:t>12.5 per cent)</w:t>
      </w:r>
      <w:r w:rsidR="00054732">
        <w:rPr>
          <w:rStyle w:val="SubtleEmphasis"/>
        </w:rPr>
        <w:t xml:space="preserve"> and those accessing Community and Family </w:t>
      </w:r>
      <w:r w:rsidR="00DC530E">
        <w:rPr>
          <w:rStyle w:val="SubtleEmphasis"/>
        </w:rPr>
        <w:t>L</w:t>
      </w:r>
      <w:r w:rsidR="00054732">
        <w:rPr>
          <w:rStyle w:val="SubtleEmphasis"/>
        </w:rPr>
        <w:t>iving supports (11.5</w:t>
      </w:r>
      <w:r w:rsidR="00F35CAA">
        <w:rPr>
          <w:rStyle w:val="SubtleEmphasis"/>
        </w:rPr>
        <w:t xml:space="preserve"> per cent</w:t>
      </w:r>
      <w:r w:rsidR="00054732">
        <w:rPr>
          <w:rStyle w:val="SubtleEmphasis"/>
        </w:rPr>
        <w:t>)</w:t>
      </w:r>
      <w:r w:rsidR="00E827B9">
        <w:rPr>
          <w:rStyle w:val="SubtleEmphasis"/>
        </w:rPr>
        <w:t xml:space="preserve">. </w:t>
      </w:r>
      <w:r w:rsidR="00B23483">
        <w:rPr>
          <w:rStyle w:val="SubtleEmphasis"/>
        </w:rPr>
        <w:t xml:space="preserve"> </w:t>
      </w:r>
      <w:r w:rsidR="008221FD" w:rsidRPr="0056397A">
        <w:rPr>
          <w:rStyle w:val="SubtleEmphasis"/>
          <w:b/>
        </w:rPr>
        <w:t>Figure 1</w:t>
      </w:r>
      <w:r w:rsidR="00D34C5E">
        <w:rPr>
          <w:rStyle w:val="SubtleEmphasis"/>
        </w:rPr>
        <w:t xml:space="preserve"> </w:t>
      </w:r>
      <w:r>
        <w:rPr>
          <w:rStyle w:val="SubtleEmphasis"/>
        </w:rPr>
        <w:t xml:space="preserve">provides </w:t>
      </w:r>
      <w:r w:rsidR="0096586C">
        <w:rPr>
          <w:rStyle w:val="SubtleEmphasis"/>
        </w:rPr>
        <w:t>comparison of the funding streams and the number of people who receive support from these in contrast with the funds allocated to each stream.</w:t>
      </w:r>
    </w:p>
    <w:p w:rsidR="001E7DE0" w:rsidRDefault="001E7DE0" w:rsidP="00F35CAA">
      <w:pPr>
        <w:tabs>
          <w:tab w:val="left" w:pos="567"/>
          <w:tab w:val="left" w:pos="10915"/>
        </w:tabs>
        <w:spacing w:line="240" w:lineRule="auto"/>
        <w:ind w:left="0" w:right="0"/>
        <w:rPr>
          <w:rStyle w:val="SubtleEmphasis"/>
        </w:rPr>
      </w:pPr>
    </w:p>
    <w:p w:rsidR="00020677" w:rsidRDefault="00020677" w:rsidP="00B23483">
      <w:pPr>
        <w:pStyle w:val="tabletitle"/>
        <w:tabs>
          <w:tab w:val="left" w:pos="567"/>
        </w:tabs>
        <w:spacing w:before="0" w:after="120"/>
        <w:ind w:left="0"/>
        <w:rPr>
          <w:color w:val="000000" w:themeColor="text1"/>
          <w:sz w:val="24"/>
          <w:szCs w:val="24"/>
        </w:rPr>
      </w:pPr>
      <w:r w:rsidRPr="004611D1">
        <w:rPr>
          <w:color w:val="000000" w:themeColor="text1"/>
          <w:sz w:val="24"/>
          <w:szCs w:val="24"/>
        </w:rPr>
        <w:t xml:space="preserve">Figure </w:t>
      </w:r>
      <w:r w:rsidRPr="004611D1">
        <w:rPr>
          <w:color w:val="000000" w:themeColor="text1"/>
          <w:sz w:val="24"/>
          <w:szCs w:val="24"/>
        </w:rPr>
        <w:fldChar w:fldCharType="begin"/>
      </w:r>
      <w:r w:rsidRPr="004611D1">
        <w:rPr>
          <w:color w:val="000000" w:themeColor="text1"/>
          <w:sz w:val="24"/>
          <w:szCs w:val="24"/>
        </w:rPr>
        <w:instrText xml:space="preserve"> SEQ Figure \* ARABIC </w:instrText>
      </w:r>
      <w:r w:rsidRPr="004611D1">
        <w:rPr>
          <w:color w:val="000000" w:themeColor="text1"/>
          <w:sz w:val="24"/>
          <w:szCs w:val="24"/>
        </w:rPr>
        <w:fldChar w:fldCharType="separate"/>
      </w:r>
      <w:r w:rsidR="00F83D5A">
        <w:rPr>
          <w:noProof/>
          <w:color w:val="000000" w:themeColor="text1"/>
          <w:sz w:val="24"/>
          <w:szCs w:val="24"/>
        </w:rPr>
        <w:t>1</w:t>
      </w:r>
      <w:r w:rsidRPr="004611D1">
        <w:rPr>
          <w:color w:val="000000" w:themeColor="text1"/>
          <w:sz w:val="24"/>
          <w:szCs w:val="24"/>
        </w:rPr>
        <w:fldChar w:fldCharType="end"/>
      </w:r>
      <w:r w:rsidRPr="004611D1">
        <w:rPr>
          <w:color w:val="000000" w:themeColor="text1"/>
          <w:sz w:val="24"/>
          <w:szCs w:val="24"/>
        </w:rPr>
        <w:t xml:space="preserve">: </w:t>
      </w:r>
      <w:r w:rsidR="00E827B9">
        <w:rPr>
          <w:color w:val="000000" w:themeColor="text1"/>
          <w:sz w:val="24"/>
          <w:szCs w:val="24"/>
        </w:rPr>
        <w:t>Proportion of new growth funding allocated to individualised service streams and the proportion of new people who accessed funding</w:t>
      </w:r>
      <w:r w:rsidR="00EC110D">
        <w:rPr>
          <w:color w:val="000000" w:themeColor="text1"/>
          <w:sz w:val="24"/>
          <w:szCs w:val="24"/>
        </w:rPr>
        <w:t xml:space="preserve"> in 2012/13</w:t>
      </w:r>
    </w:p>
    <w:p w:rsidR="00C6332A" w:rsidRPr="00584DA7" w:rsidRDefault="00584DA7" w:rsidP="00F35CAA">
      <w:pPr>
        <w:pStyle w:val="tabletitle"/>
        <w:tabs>
          <w:tab w:val="left" w:pos="567"/>
        </w:tabs>
        <w:spacing w:before="0" w:after="0"/>
        <w:ind w:left="0"/>
        <w:rPr>
          <w:color w:val="000000" w:themeColor="text1"/>
          <w:sz w:val="24"/>
          <w:szCs w:val="24"/>
        </w:rPr>
      </w:pPr>
      <w:r>
        <w:rPr>
          <w:noProof/>
        </w:rPr>
        <w:drawing>
          <wp:inline distT="0" distB="0" distL="0" distR="0" wp14:anchorId="4C8D3092" wp14:editId="5F8D21F6">
            <wp:extent cx="6343650" cy="354330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A04DA" w:rsidRPr="004611D1" w:rsidRDefault="002A04DA" w:rsidP="00F35CAA">
      <w:pPr>
        <w:tabs>
          <w:tab w:val="left" w:pos="567"/>
        </w:tabs>
        <w:spacing w:line="240" w:lineRule="auto"/>
        <w:ind w:left="0"/>
        <w:rPr>
          <w:sz w:val="16"/>
          <w:szCs w:val="16"/>
        </w:rPr>
      </w:pPr>
    </w:p>
    <w:tbl>
      <w:tblPr>
        <w:tblStyle w:val="TableGrid"/>
        <w:tblW w:w="8898" w:type="dxa"/>
        <w:jc w:val="center"/>
        <w:tblInd w:w="959" w:type="dxa"/>
        <w:tblLook w:val="04A0" w:firstRow="1" w:lastRow="0" w:firstColumn="1" w:lastColumn="0" w:noHBand="0" w:noVBand="1"/>
      </w:tblPr>
      <w:tblGrid>
        <w:gridCol w:w="454"/>
        <w:gridCol w:w="8444"/>
      </w:tblGrid>
      <w:tr w:rsidR="00584DA7" w:rsidTr="00EC110D">
        <w:trPr>
          <w:jc w:val="center"/>
        </w:trPr>
        <w:tc>
          <w:tcPr>
            <w:tcW w:w="454" w:type="dxa"/>
            <w:shd w:val="clear" w:color="auto" w:fill="365F91" w:themeFill="accent1" w:themeFillShade="BF"/>
          </w:tcPr>
          <w:p w:rsidR="00584DA7" w:rsidRDefault="00584DA7" w:rsidP="00F35CAA">
            <w:pPr>
              <w:pStyle w:val="tabletext"/>
              <w:tabs>
                <w:tab w:val="left" w:pos="567"/>
              </w:tabs>
              <w:spacing w:before="0" w:after="0"/>
              <w:ind w:left="0"/>
            </w:pPr>
          </w:p>
        </w:tc>
        <w:tc>
          <w:tcPr>
            <w:tcW w:w="8444" w:type="dxa"/>
            <w:tcBorders>
              <w:top w:val="nil"/>
              <w:bottom w:val="nil"/>
              <w:right w:val="nil"/>
            </w:tcBorders>
          </w:tcPr>
          <w:p w:rsidR="00584DA7" w:rsidRDefault="00584DA7" w:rsidP="00F35CAA">
            <w:pPr>
              <w:pStyle w:val="tabletext"/>
              <w:tabs>
                <w:tab w:val="left" w:pos="567"/>
              </w:tabs>
              <w:spacing w:before="0" w:after="0"/>
              <w:ind w:left="0"/>
            </w:pPr>
            <w:r>
              <w:t xml:space="preserve">Funding accessed through </w:t>
            </w:r>
            <w:r w:rsidR="00EC110D">
              <w:t>the Combined Application Process (CAP)</w:t>
            </w:r>
          </w:p>
        </w:tc>
      </w:tr>
      <w:tr w:rsidR="00584DA7" w:rsidTr="00EC110D">
        <w:trPr>
          <w:jc w:val="center"/>
        </w:trPr>
        <w:tc>
          <w:tcPr>
            <w:tcW w:w="454" w:type="dxa"/>
            <w:shd w:val="clear" w:color="auto" w:fill="9E4F00"/>
          </w:tcPr>
          <w:p w:rsidR="00584DA7" w:rsidRDefault="00584DA7" w:rsidP="00F35CAA">
            <w:pPr>
              <w:pStyle w:val="tabletext"/>
              <w:tabs>
                <w:tab w:val="left" w:pos="567"/>
              </w:tabs>
              <w:spacing w:before="0" w:after="0"/>
              <w:ind w:left="0"/>
            </w:pPr>
          </w:p>
        </w:tc>
        <w:tc>
          <w:tcPr>
            <w:tcW w:w="8444" w:type="dxa"/>
            <w:tcBorders>
              <w:top w:val="nil"/>
              <w:bottom w:val="nil"/>
              <w:right w:val="nil"/>
            </w:tcBorders>
          </w:tcPr>
          <w:p w:rsidR="00584DA7" w:rsidRDefault="00584DA7" w:rsidP="00F35CAA">
            <w:pPr>
              <w:pStyle w:val="tabletext"/>
              <w:tabs>
                <w:tab w:val="left" w:pos="567"/>
              </w:tabs>
              <w:spacing w:before="0" w:after="0"/>
              <w:ind w:left="0"/>
            </w:pPr>
            <w:r>
              <w:t>Funding accessed through Community and Family Living</w:t>
            </w:r>
          </w:p>
        </w:tc>
      </w:tr>
      <w:tr w:rsidR="00584DA7" w:rsidTr="00EC110D">
        <w:trPr>
          <w:jc w:val="center"/>
        </w:trPr>
        <w:tc>
          <w:tcPr>
            <w:tcW w:w="454" w:type="dxa"/>
            <w:shd w:val="clear" w:color="auto" w:fill="EBE600"/>
          </w:tcPr>
          <w:p w:rsidR="00584DA7" w:rsidRDefault="00584DA7" w:rsidP="00F35CAA">
            <w:pPr>
              <w:pStyle w:val="tabletext"/>
              <w:tabs>
                <w:tab w:val="left" w:pos="567"/>
              </w:tabs>
              <w:spacing w:before="0" w:after="0"/>
              <w:ind w:left="0"/>
            </w:pPr>
          </w:p>
        </w:tc>
        <w:tc>
          <w:tcPr>
            <w:tcW w:w="8444" w:type="dxa"/>
            <w:tcBorders>
              <w:top w:val="nil"/>
              <w:bottom w:val="nil"/>
              <w:right w:val="nil"/>
            </w:tcBorders>
          </w:tcPr>
          <w:p w:rsidR="00584DA7" w:rsidRDefault="00584DA7" w:rsidP="00F35CAA">
            <w:pPr>
              <w:pStyle w:val="tabletext"/>
              <w:tabs>
                <w:tab w:val="left" w:pos="567"/>
              </w:tabs>
              <w:spacing w:before="0" w:after="0"/>
              <w:ind w:left="0"/>
            </w:pPr>
            <w:r>
              <w:t xml:space="preserve">Funding accessed through Local Area </w:t>
            </w:r>
            <w:r w:rsidR="00EC110D">
              <w:t xml:space="preserve">Resource </w:t>
            </w:r>
            <w:r>
              <w:t>and Post School Options.</w:t>
            </w:r>
          </w:p>
        </w:tc>
      </w:tr>
    </w:tbl>
    <w:p w:rsidR="00387AFC" w:rsidRDefault="00387AFC" w:rsidP="00F35CAA">
      <w:pPr>
        <w:tabs>
          <w:tab w:val="left" w:pos="567"/>
        </w:tabs>
        <w:spacing w:line="240" w:lineRule="auto"/>
        <w:ind w:left="0"/>
      </w:pPr>
    </w:p>
    <w:p w:rsidR="00020677" w:rsidRDefault="00020677" w:rsidP="00F35CAA">
      <w:pPr>
        <w:pStyle w:val="Heading4"/>
        <w:keepNext w:val="0"/>
        <w:keepLines w:val="0"/>
        <w:tabs>
          <w:tab w:val="left" w:pos="567"/>
        </w:tabs>
        <w:spacing w:after="0"/>
        <w:ind w:left="0"/>
        <w:rPr>
          <w:sz w:val="28"/>
        </w:rPr>
      </w:pPr>
    </w:p>
    <w:p w:rsidR="00E827B9" w:rsidRDefault="00E827B9" w:rsidP="00F35CAA">
      <w:pPr>
        <w:widowControl/>
        <w:tabs>
          <w:tab w:val="left" w:pos="567"/>
        </w:tabs>
        <w:autoSpaceDE/>
        <w:autoSpaceDN/>
        <w:adjustRightInd/>
        <w:spacing w:line="240" w:lineRule="auto"/>
        <w:ind w:left="0" w:right="0"/>
        <w:rPr>
          <w:rFonts w:eastAsiaTheme="majorEastAsia" w:cstheme="majorBidi"/>
          <w:b/>
          <w:iCs/>
          <w:noProof/>
          <w:color w:val="005E79"/>
          <w:kern w:val="28"/>
          <w:sz w:val="28"/>
          <w:szCs w:val="28"/>
        </w:rPr>
      </w:pPr>
      <w:r>
        <w:rPr>
          <w:sz w:val="28"/>
        </w:rPr>
        <w:br w:type="page"/>
      </w:r>
    </w:p>
    <w:p w:rsidR="009E1491" w:rsidRPr="00020677" w:rsidRDefault="00945DEB" w:rsidP="00F35CAA">
      <w:pPr>
        <w:pStyle w:val="Heading4"/>
        <w:keepNext w:val="0"/>
        <w:keepLines w:val="0"/>
        <w:tabs>
          <w:tab w:val="left" w:pos="567"/>
        </w:tabs>
        <w:spacing w:after="0"/>
        <w:ind w:left="0"/>
        <w:rPr>
          <w:sz w:val="28"/>
        </w:rPr>
      </w:pPr>
      <w:r w:rsidRPr="00020677">
        <w:rPr>
          <w:sz w:val="28"/>
        </w:rPr>
        <w:lastRenderedPageBreak/>
        <w:t>I</w:t>
      </w:r>
      <w:r w:rsidR="009E1491" w:rsidRPr="00020677">
        <w:rPr>
          <w:sz w:val="28"/>
        </w:rPr>
        <w:t>ndividualised funding applications and allocations in 2012/13</w:t>
      </w:r>
    </w:p>
    <w:p w:rsidR="00FD5B81" w:rsidRDefault="00387AFC" w:rsidP="00F35CAA">
      <w:pPr>
        <w:widowControl/>
        <w:tabs>
          <w:tab w:val="left" w:pos="567"/>
        </w:tabs>
        <w:autoSpaceDE/>
        <w:autoSpaceDN/>
        <w:adjustRightInd/>
        <w:spacing w:line="240" w:lineRule="auto"/>
        <w:ind w:left="0" w:right="0"/>
        <w:rPr>
          <w:rStyle w:val="SubtleEmphasis"/>
        </w:rPr>
      </w:pPr>
      <w:r>
        <w:rPr>
          <w:rStyle w:val="SubtleEmphasis"/>
        </w:rPr>
        <w:t xml:space="preserve">In 2012/13, </w:t>
      </w:r>
      <w:r w:rsidR="009E1491">
        <w:rPr>
          <w:rStyle w:val="SubtleEmphasis"/>
        </w:rPr>
        <w:t>1,911 people applied</w:t>
      </w:r>
      <w:r>
        <w:rPr>
          <w:rStyle w:val="SubtleEmphasis"/>
        </w:rPr>
        <w:t xml:space="preserve"> for</w:t>
      </w:r>
      <w:r w:rsidR="009E1491">
        <w:rPr>
          <w:rStyle w:val="SubtleEmphasis"/>
        </w:rPr>
        <w:t xml:space="preserve"> individualised funding</w:t>
      </w:r>
      <w:r w:rsidR="00B26A50">
        <w:rPr>
          <w:rStyle w:val="SubtleEmphasis"/>
        </w:rPr>
        <w:t xml:space="preserve"> through CAP and other individual funding streams</w:t>
      </w:r>
      <w:r w:rsidR="009E1491">
        <w:rPr>
          <w:rStyle w:val="SubtleEmphasis"/>
        </w:rPr>
        <w:t>.</w:t>
      </w:r>
      <w:r w:rsidR="00B23483">
        <w:rPr>
          <w:rStyle w:val="SubtleEmphasis"/>
        </w:rPr>
        <w:t xml:space="preserve"> </w:t>
      </w:r>
      <w:r w:rsidR="009E1491">
        <w:rPr>
          <w:rStyle w:val="SubtleEmphasis"/>
        </w:rPr>
        <w:t xml:space="preserve"> </w:t>
      </w:r>
      <w:r w:rsidR="00945DEB">
        <w:rPr>
          <w:rStyle w:val="SubtleEmphasis"/>
        </w:rPr>
        <w:t>Of these</w:t>
      </w:r>
      <w:r w:rsidR="00DD6EFE">
        <w:rPr>
          <w:rStyle w:val="SubtleEmphasis"/>
        </w:rPr>
        <w:t xml:space="preserve"> people</w:t>
      </w:r>
      <w:r w:rsidR="00945DEB">
        <w:rPr>
          <w:rStyle w:val="SubtleEmphasis"/>
        </w:rPr>
        <w:t xml:space="preserve"> </w:t>
      </w:r>
      <w:r w:rsidR="00F47CE9">
        <w:rPr>
          <w:rStyle w:val="SubtleEmphasis"/>
        </w:rPr>
        <w:t xml:space="preserve">about </w:t>
      </w:r>
      <w:r w:rsidR="00DD6EFE" w:rsidRPr="002901E7">
        <w:rPr>
          <w:rStyle w:val="SubtleEmphasis"/>
        </w:rPr>
        <w:t>39.</w:t>
      </w:r>
      <w:r w:rsidR="002901E7" w:rsidRPr="002901E7">
        <w:rPr>
          <w:rStyle w:val="SubtleEmphasis"/>
        </w:rPr>
        <w:t>4</w:t>
      </w:r>
      <w:r w:rsidR="00DD6EFE" w:rsidRPr="002901E7">
        <w:rPr>
          <w:rStyle w:val="SubtleEmphasis"/>
        </w:rPr>
        <w:t xml:space="preserve"> per cent</w:t>
      </w:r>
      <w:r w:rsidR="00DD6EFE">
        <w:rPr>
          <w:rStyle w:val="SubtleEmphasis"/>
        </w:rPr>
        <w:t xml:space="preserve"> received </w:t>
      </w:r>
      <w:r w:rsidR="00B26A50">
        <w:rPr>
          <w:rStyle w:val="SubtleEmphasis"/>
        </w:rPr>
        <w:t>the</w:t>
      </w:r>
      <w:r w:rsidR="00DD6EFE">
        <w:rPr>
          <w:rStyle w:val="SubtleEmphasis"/>
        </w:rPr>
        <w:t xml:space="preserve"> new package of funding </w:t>
      </w:r>
      <w:r w:rsidR="00B26A50">
        <w:rPr>
          <w:rStyle w:val="SubtleEmphasis"/>
        </w:rPr>
        <w:t xml:space="preserve">as requested </w:t>
      </w:r>
      <w:r w:rsidR="00DD6EFE">
        <w:rPr>
          <w:rStyle w:val="SubtleEmphasis"/>
        </w:rPr>
        <w:t>and close to two per cent received an increase in existing funding to support changes in need.</w:t>
      </w:r>
      <w:r w:rsidR="00B23483">
        <w:rPr>
          <w:rStyle w:val="SubtleEmphasis"/>
        </w:rPr>
        <w:t xml:space="preserve"> </w:t>
      </w:r>
      <w:r w:rsidR="00DD6EFE">
        <w:rPr>
          <w:rStyle w:val="SubtleEmphasis"/>
        </w:rPr>
        <w:t xml:space="preserve"> </w:t>
      </w:r>
      <w:r w:rsidR="008221FD" w:rsidRPr="0056397A">
        <w:rPr>
          <w:rStyle w:val="SubtleEmphasis"/>
          <w:b/>
        </w:rPr>
        <w:t>Figure 2</w:t>
      </w:r>
      <w:r w:rsidR="00945DEB">
        <w:rPr>
          <w:rStyle w:val="SubtleEmphasis"/>
        </w:rPr>
        <w:t xml:space="preserve"> </w:t>
      </w:r>
      <w:r w:rsidR="00DD6EFE">
        <w:rPr>
          <w:rStyle w:val="SubtleEmphasis"/>
        </w:rPr>
        <w:t xml:space="preserve">provides a breakdown of </w:t>
      </w:r>
      <w:r w:rsidR="00596CCA">
        <w:rPr>
          <w:rStyle w:val="SubtleEmphasis"/>
        </w:rPr>
        <w:t>the percentages of applications that were supported, both new applications and increases to existing funding, and those not supported</w:t>
      </w:r>
      <w:r w:rsidR="00EC110D">
        <w:rPr>
          <w:rStyle w:val="SubtleEmphasis"/>
        </w:rPr>
        <w:t xml:space="preserve"> in 2012/13.</w:t>
      </w:r>
    </w:p>
    <w:p w:rsidR="00F35CAA" w:rsidRDefault="00F35CAA" w:rsidP="00F35CAA">
      <w:pPr>
        <w:widowControl/>
        <w:tabs>
          <w:tab w:val="left" w:pos="567"/>
        </w:tabs>
        <w:autoSpaceDE/>
        <w:autoSpaceDN/>
        <w:adjustRightInd/>
        <w:spacing w:line="240" w:lineRule="auto"/>
        <w:ind w:left="0" w:right="0"/>
        <w:rPr>
          <w:rStyle w:val="SubtleEmphasis"/>
        </w:rPr>
      </w:pPr>
    </w:p>
    <w:p w:rsidR="00F35CAA" w:rsidRDefault="00BE431D" w:rsidP="00F35CAA">
      <w:pPr>
        <w:pStyle w:val="Heading1"/>
        <w:tabs>
          <w:tab w:val="left" w:pos="567"/>
        </w:tabs>
        <w:spacing w:after="0"/>
        <w:ind w:left="0"/>
        <w:rPr>
          <w:rStyle w:val="SubtleEmphasis"/>
          <w:b w:val="0"/>
          <w:sz w:val="24"/>
          <w:szCs w:val="24"/>
        </w:rPr>
      </w:pPr>
      <w:r>
        <w:rPr>
          <w:rStyle w:val="SubtleEmphasis"/>
          <w:b w:val="0"/>
          <w:sz w:val="24"/>
          <w:szCs w:val="24"/>
        </w:rPr>
        <w:t xml:space="preserve">In 2012/13 many people who were not immediately successful with their application for funding through CAP received other forms of support from the Commission. </w:t>
      </w:r>
      <w:r w:rsidR="00B23483">
        <w:rPr>
          <w:rStyle w:val="SubtleEmphasis"/>
          <w:b w:val="0"/>
          <w:sz w:val="24"/>
          <w:szCs w:val="24"/>
        </w:rPr>
        <w:t xml:space="preserve"> </w:t>
      </w:r>
      <w:r>
        <w:rPr>
          <w:rStyle w:val="SubtleEmphasis"/>
          <w:b w:val="0"/>
          <w:sz w:val="24"/>
          <w:szCs w:val="24"/>
        </w:rPr>
        <w:t>Almost 60 per cent of the unfunded CAP applicants received and used alternative Commission funding during 2012/13.</w:t>
      </w:r>
    </w:p>
    <w:p w:rsidR="00BE431D" w:rsidRPr="00BE431D" w:rsidRDefault="00BE431D" w:rsidP="00F35CAA">
      <w:pPr>
        <w:pStyle w:val="Heading1"/>
        <w:tabs>
          <w:tab w:val="left" w:pos="567"/>
        </w:tabs>
        <w:spacing w:after="0"/>
        <w:ind w:left="0"/>
        <w:rPr>
          <w:rStyle w:val="SubtleEmphasis"/>
          <w:b w:val="0"/>
          <w:sz w:val="24"/>
          <w:szCs w:val="24"/>
        </w:rPr>
      </w:pPr>
    </w:p>
    <w:p w:rsidR="00FF1253" w:rsidRDefault="00020677" w:rsidP="00B23483">
      <w:pPr>
        <w:pStyle w:val="tabletitle"/>
        <w:tabs>
          <w:tab w:val="left" w:pos="567"/>
        </w:tabs>
        <w:spacing w:before="0" w:after="120"/>
        <w:ind w:left="0"/>
        <w:rPr>
          <w:color w:val="000000" w:themeColor="text1"/>
          <w:sz w:val="24"/>
          <w:szCs w:val="24"/>
        </w:rPr>
      </w:pPr>
      <w:r w:rsidRPr="004611D1">
        <w:rPr>
          <w:color w:val="000000" w:themeColor="text1"/>
          <w:sz w:val="24"/>
          <w:szCs w:val="24"/>
        </w:rPr>
        <w:t xml:space="preserve">Figure </w:t>
      </w:r>
      <w:r w:rsidRPr="004611D1">
        <w:rPr>
          <w:color w:val="000000" w:themeColor="text1"/>
          <w:sz w:val="24"/>
          <w:szCs w:val="24"/>
        </w:rPr>
        <w:fldChar w:fldCharType="begin"/>
      </w:r>
      <w:r w:rsidRPr="004611D1">
        <w:rPr>
          <w:color w:val="000000" w:themeColor="text1"/>
          <w:sz w:val="24"/>
          <w:szCs w:val="24"/>
        </w:rPr>
        <w:instrText xml:space="preserve"> SEQ Figure \* ARABIC </w:instrText>
      </w:r>
      <w:r w:rsidRPr="004611D1">
        <w:rPr>
          <w:color w:val="000000" w:themeColor="text1"/>
          <w:sz w:val="24"/>
          <w:szCs w:val="24"/>
        </w:rPr>
        <w:fldChar w:fldCharType="separate"/>
      </w:r>
      <w:r w:rsidR="00F83D5A">
        <w:rPr>
          <w:noProof/>
          <w:color w:val="000000" w:themeColor="text1"/>
          <w:sz w:val="24"/>
          <w:szCs w:val="24"/>
        </w:rPr>
        <w:t>2</w:t>
      </w:r>
      <w:r w:rsidRPr="004611D1">
        <w:rPr>
          <w:color w:val="000000" w:themeColor="text1"/>
          <w:sz w:val="24"/>
          <w:szCs w:val="24"/>
        </w:rPr>
        <w:fldChar w:fldCharType="end"/>
      </w:r>
      <w:r w:rsidRPr="004611D1">
        <w:rPr>
          <w:color w:val="000000" w:themeColor="text1"/>
          <w:sz w:val="24"/>
          <w:szCs w:val="24"/>
        </w:rPr>
        <w:t>: Funded and unfunded applications by program area</w:t>
      </w:r>
      <w:r w:rsidR="00EC110D">
        <w:rPr>
          <w:color w:val="000000" w:themeColor="text1"/>
          <w:sz w:val="24"/>
          <w:szCs w:val="24"/>
        </w:rPr>
        <w:t xml:space="preserve"> in 2012/13</w:t>
      </w:r>
    </w:p>
    <w:p w:rsidR="00387AFC" w:rsidRDefault="00BC70D8" w:rsidP="00F35CAA">
      <w:pPr>
        <w:pStyle w:val="tabletitle"/>
        <w:tabs>
          <w:tab w:val="left" w:pos="567"/>
        </w:tabs>
        <w:spacing w:before="0" w:after="0"/>
        <w:ind w:left="0"/>
        <w:rPr>
          <w:color w:val="000000" w:themeColor="text1"/>
          <w:sz w:val="24"/>
          <w:szCs w:val="24"/>
        </w:rPr>
      </w:pPr>
      <w:r>
        <w:rPr>
          <w:noProof/>
        </w:rPr>
        <w:drawing>
          <wp:inline distT="0" distB="0" distL="0" distR="0" wp14:anchorId="445CBACD" wp14:editId="34771B8C">
            <wp:extent cx="6100876" cy="4323283"/>
            <wp:effectExtent l="0" t="0" r="14605" b="2032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D47D5" w:rsidRPr="00BC70D8" w:rsidRDefault="004D47D5" w:rsidP="00F35CAA">
      <w:pPr>
        <w:pStyle w:val="tabletitle"/>
        <w:tabs>
          <w:tab w:val="left" w:pos="567"/>
        </w:tabs>
        <w:spacing w:before="0" w:after="0"/>
        <w:ind w:left="0"/>
        <w:rPr>
          <w:color w:val="000000" w:themeColor="text1"/>
          <w:sz w:val="24"/>
          <w:szCs w:val="24"/>
        </w:rPr>
      </w:pPr>
    </w:p>
    <w:tbl>
      <w:tblPr>
        <w:tblStyle w:val="TableGrid"/>
        <w:tblW w:w="9149" w:type="dxa"/>
        <w:jc w:val="center"/>
        <w:tblInd w:w="817" w:type="dxa"/>
        <w:tblLook w:val="04A0" w:firstRow="1" w:lastRow="0" w:firstColumn="1" w:lastColumn="0" w:noHBand="0" w:noVBand="1"/>
      </w:tblPr>
      <w:tblGrid>
        <w:gridCol w:w="510"/>
        <w:gridCol w:w="3821"/>
        <w:gridCol w:w="510"/>
        <w:gridCol w:w="4308"/>
      </w:tblGrid>
      <w:tr w:rsidR="00BC70D8" w:rsidTr="00B549FE">
        <w:trPr>
          <w:jc w:val="center"/>
        </w:trPr>
        <w:tc>
          <w:tcPr>
            <w:tcW w:w="510" w:type="dxa"/>
            <w:tcBorders>
              <w:top w:val="single" w:sz="4" w:space="0" w:color="auto"/>
              <w:bottom w:val="single" w:sz="4" w:space="0" w:color="auto"/>
            </w:tcBorders>
            <w:shd w:val="clear" w:color="auto" w:fill="365F91" w:themeFill="accent1" w:themeFillShade="BF"/>
          </w:tcPr>
          <w:p w:rsidR="00BC70D8" w:rsidRDefault="00BC70D8" w:rsidP="00F35CAA">
            <w:pPr>
              <w:pStyle w:val="tabletext"/>
              <w:tabs>
                <w:tab w:val="left" w:pos="567"/>
              </w:tabs>
              <w:spacing w:before="0" w:after="0"/>
              <w:ind w:left="0"/>
            </w:pPr>
          </w:p>
          <w:p w:rsidR="00F35CAA" w:rsidRDefault="00F35CAA" w:rsidP="00F35CAA">
            <w:pPr>
              <w:pStyle w:val="tabletext"/>
              <w:tabs>
                <w:tab w:val="left" w:pos="567"/>
              </w:tabs>
              <w:spacing w:before="0" w:after="0"/>
              <w:ind w:left="0"/>
            </w:pPr>
          </w:p>
        </w:tc>
        <w:tc>
          <w:tcPr>
            <w:tcW w:w="3821" w:type="dxa"/>
            <w:tcBorders>
              <w:top w:val="nil"/>
              <w:bottom w:val="nil"/>
              <w:right w:val="nil"/>
            </w:tcBorders>
          </w:tcPr>
          <w:p w:rsidR="00BC70D8" w:rsidRDefault="00BC70D8" w:rsidP="00B549FE">
            <w:pPr>
              <w:pStyle w:val="tabletext"/>
              <w:tabs>
                <w:tab w:val="left" w:pos="567"/>
              </w:tabs>
              <w:spacing w:before="0" w:after="0"/>
              <w:ind w:left="0"/>
            </w:pPr>
            <w:r>
              <w:t>Full funding</w:t>
            </w:r>
            <w:r w:rsidR="00B549FE">
              <w:t xml:space="preserve"> (new package of support)</w:t>
            </w:r>
          </w:p>
        </w:tc>
        <w:tc>
          <w:tcPr>
            <w:tcW w:w="510" w:type="dxa"/>
            <w:tcBorders>
              <w:top w:val="single" w:sz="4" w:space="0" w:color="auto"/>
              <w:bottom w:val="single" w:sz="4" w:space="0" w:color="auto"/>
              <w:right w:val="nil"/>
            </w:tcBorders>
            <w:shd w:val="clear" w:color="auto" w:fill="EBE600"/>
          </w:tcPr>
          <w:p w:rsidR="00BC70D8" w:rsidRDefault="00BC70D8" w:rsidP="00F35CAA">
            <w:pPr>
              <w:pStyle w:val="tabletext"/>
              <w:tabs>
                <w:tab w:val="left" w:pos="567"/>
              </w:tabs>
              <w:spacing w:before="0" w:after="0"/>
              <w:ind w:left="0"/>
            </w:pPr>
          </w:p>
        </w:tc>
        <w:tc>
          <w:tcPr>
            <w:tcW w:w="4308" w:type="dxa"/>
            <w:tcBorders>
              <w:top w:val="nil"/>
              <w:bottom w:val="nil"/>
              <w:right w:val="nil"/>
            </w:tcBorders>
          </w:tcPr>
          <w:p w:rsidR="00BC70D8" w:rsidRDefault="00B549FE" w:rsidP="00F35CAA">
            <w:pPr>
              <w:pStyle w:val="tabletext"/>
              <w:tabs>
                <w:tab w:val="left" w:pos="567"/>
              </w:tabs>
              <w:spacing w:before="0" w:after="0"/>
              <w:ind w:left="0"/>
            </w:pPr>
            <w:r>
              <w:t>Changed need funding (more funding for those whose needs have changed)</w:t>
            </w:r>
          </w:p>
        </w:tc>
      </w:tr>
      <w:tr w:rsidR="00BC70D8" w:rsidTr="00B549FE">
        <w:trPr>
          <w:jc w:val="center"/>
        </w:trPr>
        <w:tc>
          <w:tcPr>
            <w:tcW w:w="510" w:type="dxa"/>
            <w:tcBorders>
              <w:top w:val="single" w:sz="4" w:space="0" w:color="auto"/>
              <w:bottom w:val="single" w:sz="4" w:space="0" w:color="auto"/>
            </w:tcBorders>
            <w:shd w:val="clear" w:color="auto" w:fill="92D050"/>
          </w:tcPr>
          <w:p w:rsidR="00BC70D8" w:rsidRDefault="00BC70D8" w:rsidP="00F35CAA">
            <w:pPr>
              <w:pStyle w:val="tabletext"/>
              <w:tabs>
                <w:tab w:val="left" w:pos="567"/>
              </w:tabs>
              <w:spacing w:before="0" w:after="0"/>
              <w:ind w:left="0"/>
            </w:pPr>
          </w:p>
        </w:tc>
        <w:tc>
          <w:tcPr>
            <w:tcW w:w="3821" w:type="dxa"/>
            <w:tcBorders>
              <w:top w:val="nil"/>
              <w:bottom w:val="nil"/>
              <w:right w:val="nil"/>
            </w:tcBorders>
          </w:tcPr>
          <w:p w:rsidR="00BC70D8" w:rsidRDefault="00BC70D8" w:rsidP="00F35CAA">
            <w:pPr>
              <w:pStyle w:val="tabletext"/>
              <w:tabs>
                <w:tab w:val="left" w:pos="567"/>
              </w:tabs>
              <w:spacing w:before="0" w:after="0"/>
              <w:ind w:left="0"/>
            </w:pPr>
            <w:r>
              <w:t>Unfunded applica</w:t>
            </w:r>
            <w:r w:rsidR="00FF1563">
              <w:t xml:space="preserve">nts who have </w:t>
            </w:r>
            <w:r>
              <w:t>other Commission Funding</w:t>
            </w:r>
          </w:p>
        </w:tc>
        <w:tc>
          <w:tcPr>
            <w:tcW w:w="510" w:type="dxa"/>
            <w:tcBorders>
              <w:top w:val="single" w:sz="4" w:space="0" w:color="auto"/>
              <w:bottom w:val="single" w:sz="4" w:space="0" w:color="auto"/>
              <w:right w:val="nil"/>
            </w:tcBorders>
            <w:shd w:val="clear" w:color="auto" w:fill="E36C0A" w:themeFill="accent6" w:themeFillShade="BF"/>
          </w:tcPr>
          <w:p w:rsidR="00BC70D8" w:rsidRDefault="00BC70D8" w:rsidP="00F35CAA">
            <w:pPr>
              <w:pStyle w:val="tabletext"/>
              <w:tabs>
                <w:tab w:val="left" w:pos="567"/>
              </w:tabs>
              <w:spacing w:before="0" w:after="0"/>
              <w:ind w:left="0"/>
            </w:pPr>
          </w:p>
        </w:tc>
        <w:tc>
          <w:tcPr>
            <w:tcW w:w="4308" w:type="dxa"/>
            <w:tcBorders>
              <w:top w:val="nil"/>
              <w:bottom w:val="nil"/>
              <w:right w:val="nil"/>
            </w:tcBorders>
          </w:tcPr>
          <w:p w:rsidR="00BC70D8" w:rsidRDefault="00BC70D8" w:rsidP="00F35CAA">
            <w:pPr>
              <w:pStyle w:val="tabletext"/>
              <w:tabs>
                <w:tab w:val="left" w:pos="567"/>
              </w:tabs>
              <w:spacing w:before="0" w:after="0"/>
              <w:ind w:left="0"/>
            </w:pPr>
            <w:r>
              <w:t>Unfunded applica</w:t>
            </w:r>
            <w:r w:rsidR="00FF1563">
              <w:t xml:space="preserve">nts who do not have </w:t>
            </w:r>
            <w:r>
              <w:t xml:space="preserve"> other Commission funding</w:t>
            </w:r>
          </w:p>
        </w:tc>
      </w:tr>
    </w:tbl>
    <w:p w:rsidR="00FB52E4" w:rsidRDefault="00FB52E4" w:rsidP="00F35CAA">
      <w:pPr>
        <w:widowControl/>
        <w:tabs>
          <w:tab w:val="left" w:pos="567"/>
        </w:tabs>
        <w:autoSpaceDE/>
        <w:autoSpaceDN/>
        <w:adjustRightInd/>
        <w:spacing w:line="240" w:lineRule="auto"/>
        <w:ind w:left="0" w:right="0"/>
      </w:pPr>
    </w:p>
    <w:p w:rsidR="00BC70D8" w:rsidRDefault="00BC70D8" w:rsidP="00F35CAA">
      <w:pPr>
        <w:widowControl/>
        <w:tabs>
          <w:tab w:val="left" w:pos="567"/>
        </w:tabs>
        <w:autoSpaceDE/>
        <w:autoSpaceDN/>
        <w:adjustRightInd/>
        <w:spacing w:line="240" w:lineRule="auto"/>
        <w:ind w:left="0" w:right="0"/>
        <w:rPr>
          <w:rFonts w:eastAsiaTheme="majorEastAsia"/>
          <w:b/>
          <w:bCs/>
          <w:color w:val="005E79"/>
          <w:sz w:val="32"/>
          <w:szCs w:val="32"/>
        </w:rPr>
      </w:pPr>
      <w:r>
        <w:br w:type="page"/>
      </w:r>
    </w:p>
    <w:p w:rsidR="008D2E57" w:rsidRDefault="008D2E57" w:rsidP="00F35CAA">
      <w:pPr>
        <w:pStyle w:val="Heading2"/>
        <w:keepNext w:val="0"/>
        <w:keepLines w:val="0"/>
        <w:tabs>
          <w:tab w:val="left" w:pos="567"/>
        </w:tabs>
        <w:spacing w:after="0"/>
        <w:ind w:left="0" w:right="0"/>
      </w:pPr>
      <w:r>
        <w:lastRenderedPageBreak/>
        <w:t>Combined Application Process: trends from 2009/10 to 2012/13</w:t>
      </w:r>
    </w:p>
    <w:p w:rsidR="008D2E57" w:rsidRDefault="008D2E57" w:rsidP="00F35CAA">
      <w:pPr>
        <w:tabs>
          <w:tab w:val="left" w:pos="567"/>
          <w:tab w:val="left" w:pos="10915"/>
        </w:tabs>
        <w:spacing w:line="240" w:lineRule="auto"/>
        <w:ind w:left="0" w:right="0"/>
        <w:rPr>
          <w:rStyle w:val="SubtleEmphasis"/>
        </w:rPr>
      </w:pPr>
      <w:r w:rsidRPr="008D2E57">
        <w:rPr>
          <w:rStyle w:val="SubtleEmphasis"/>
        </w:rPr>
        <w:t xml:space="preserve">This </w:t>
      </w:r>
      <w:r>
        <w:rPr>
          <w:rStyle w:val="SubtleEmphasis"/>
        </w:rPr>
        <w:t xml:space="preserve">section provides information about the total increase in new funding </w:t>
      </w:r>
      <w:r w:rsidR="00961AA0">
        <w:rPr>
          <w:rStyle w:val="SubtleEmphasis"/>
        </w:rPr>
        <w:t>accessed</w:t>
      </w:r>
      <w:r>
        <w:rPr>
          <w:rStyle w:val="SubtleEmphasis"/>
        </w:rPr>
        <w:t xml:space="preserve"> through </w:t>
      </w:r>
      <w:r w:rsidR="00EC110D">
        <w:rPr>
          <w:rStyle w:val="SubtleEmphasis"/>
        </w:rPr>
        <w:t xml:space="preserve">CAP </w:t>
      </w:r>
      <w:r>
        <w:rPr>
          <w:rStyle w:val="SubtleEmphasis"/>
        </w:rPr>
        <w:t>over t</w:t>
      </w:r>
      <w:r w:rsidR="00EC110D">
        <w:rPr>
          <w:rStyle w:val="SubtleEmphasis"/>
        </w:rPr>
        <w:t>he past four years. Between 2009/10</w:t>
      </w:r>
      <w:r>
        <w:rPr>
          <w:rStyle w:val="SubtleEmphasis"/>
        </w:rPr>
        <w:t xml:space="preserve"> and 2012/13 the Commission allocated </w:t>
      </w:r>
      <w:r w:rsidR="00EC110D">
        <w:rPr>
          <w:rStyle w:val="SubtleEmphasis"/>
        </w:rPr>
        <w:t>around</w:t>
      </w:r>
      <w:r>
        <w:rPr>
          <w:rStyle w:val="SubtleEmphasis"/>
        </w:rPr>
        <w:t xml:space="preserve"> $</w:t>
      </w:r>
      <w:r w:rsidR="00EC110D">
        <w:rPr>
          <w:rStyle w:val="SubtleEmphasis"/>
        </w:rPr>
        <w:t>117.2</w:t>
      </w:r>
      <w:r>
        <w:rPr>
          <w:rStyle w:val="SubtleEmphasis"/>
        </w:rPr>
        <w:t xml:space="preserve"> million through CAP for Accommodation Support Funding, Intensive Family Support, and Alternatives to Employment.</w:t>
      </w:r>
      <w:r w:rsidR="00B23483">
        <w:rPr>
          <w:rStyle w:val="SubtleEmphasis"/>
        </w:rPr>
        <w:t xml:space="preserve"> </w:t>
      </w:r>
      <w:r>
        <w:rPr>
          <w:rStyle w:val="SubtleEmphasis"/>
        </w:rPr>
        <w:t xml:space="preserve"> This money was in addition to existing supports provided through these programs.</w:t>
      </w:r>
      <w:r w:rsidR="00B23483">
        <w:rPr>
          <w:rStyle w:val="SubtleEmphasis"/>
        </w:rPr>
        <w:t xml:space="preserve">  </w:t>
      </w:r>
      <w:r>
        <w:rPr>
          <w:rStyle w:val="SubtleEmphasis"/>
        </w:rPr>
        <w:t>This funding has allowed 1,341 new individuals to be supported with another 251 receiving an increase in their level of support as their needs have changed or become more complex over time.</w:t>
      </w:r>
      <w:r w:rsidR="00B23483">
        <w:rPr>
          <w:rStyle w:val="SubtleEmphasis"/>
        </w:rPr>
        <w:t xml:space="preserve"> </w:t>
      </w:r>
      <w:r w:rsidR="00EC110D">
        <w:rPr>
          <w:rStyle w:val="SubtleEmphasis"/>
        </w:rPr>
        <w:t xml:space="preserve"> </w:t>
      </w:r>
      <w:r w:rsidR="00EC110D" w:rsidRPr="00B26A50">
        <w:rPr>
          <w:rStyle w:val="SubtleEmphasis"/>
          <w:b/>
        </w:rPr>
        <w:t>Table 2</w:t>
      </w:r>
      <w:r w:rsidR="00EC110D">
        <w:rPr>
          <w:rStyle w:val="SubtleEmphasis"/>
        </w:rPr>
        <w:t xml:space="preserve"> details funding </w:t>
      </w:r>
      <w:r w:rsidR="009E7764">
        <w:rPr>
          <w:rStyle w:val="SubtleEmphasis"/>
        </w:rPr>
        <w:t xml:space="preserve">accessed </w:t>
      </w:r>
      <w:r w:rsidR="00EC110D">
        <w:rPr>
          <w:rStyle w:val="SubtleEmphasis"/>
        </w:rPr>
        <w:t xml:space="preserve">through CAP from 2009/10 to 2012/13, along with the number of new people who </w:t>
      </w:r>
      <w:r w:rsidR="009E7764">
        <w:rPr>
          <w:rStyle w:val="SubtleEmphasis"/>
        </w:rPr>
        <w:t>accessed</w:t>
      </w:r>
      <w:r w:rsidR="00EC110D">
        <w:rPr>
          <w:rStyle w:val="SubtleEmphasis"/>
        </w:rPr>
        <w:t xml:space="preserve"> funding</w:t>
      </w:r>
      <w:r w:rsidR="009E7764">
        <w:rPr>
          <w:rStyle w:val="SubtleEmphasis"/>
        </w:rPr>
        <w:t xml:space="preserve"> and those who received an increase in funding to support changes in need.</w:t>
      </w:r>
    </w:p>
    <w:p w:rsidR="009E7764" w:rsidRDefault="009E7764" w:rsidP="00F35CAA">
      <w:pPr>
        <w:tabs>
          <w:tab w:val="left" w:pos="567"/>
          <w:tab w:val="left" w:pos="10915"/>
        </w:tabs>
        <w:spacing w:line="240" w:lineRule="auto"/>
        <w:ind w:left="0" w:right="0"/>
        <w:rPr>
          <w:rStyle w:val="SubtleEmphasis"/>
        </w:rPr>
      </w:pPr>
    </w:p>
    <w:p w:rsidR="00020677" w:rsidRPr="00FF1253" w:rsidRDefault="00020677" w:rsidP="00B23483">
      <w:pPr>
        <w:pStyle w:val="tabletitle"/>
        <w:tabs>
          <w:tab w:val="left" w:pos="567"/>
        </w:tabs>
        <w:spacing w:before="0" w:after="120"/>
        <w:ind w:left="0"/>
        <w:rPr>
          <w:color w:val="000000" w:themeColor="text1"/>
          <w:sz w:val="24"/>
          <w:szCs w:val="24"/>
        </w:rPr>
      </w:pPr>
      <w:r w:rsidRPr="00FF1253">
        <w:rPr>
          <w:color w:val="000000" w:themeColor="text1"/>
          <w:sz w:val="24"/>
          <w:szCs w:val="24"/>
        </w:rPr>
        <w:t xml:space="preserve">Table </w:t>
      </w:r>
      <w:r w:rsidRPr="00FF1253">
        <w:rPr>
          <w:color w:val="000000" w:themeColor="text1"/>
          <w:sz w:val="24"/>
          <w:szCs w:val="24"/>
        </w:rPr>
        <w:fldChar w:fldCharType="begin"/>
      </w:r>
      <w:r w:rsidRPr="00FF1253">
        <w:rPr>
          <w:color w:val="000000" w:themeColor="text1"/>
          <w:sz w:val="24"/>
          <w:szCs w:val="24"/>
        </w:rPr>
        <w:instrText xml:space="preserve"> SEQ Table \* ARABIC </w:instrText>
      </w:r>
      <w:r w:rsidRPr="00FF1253">
        <w:rPr>
          <w:color w:val="000000" w:themeColor="text1"/>
          <w:sz w:val="24"/>
          <w:szCs w:val="24"/>
        </w:rPr>
        <w:fldChar w:fldCharType="separate"/>
      </w:r>
      <w:r w:rsidR="00F83D5A">
        <w:rPr>
          <w:noProof/>
          <w:color w:val="000000" w:themeColor="text1"/>
          <w:sz w:val="24"/>
          <w:szCs w:val="24"/>
        </w:rPr>
        <w:t>2</w:t>
      </w:r>
      <w:r w:rsidRPr="00FF1253">
        <w:rPr>
          <w:color w:val="000000" w:themeColor="text1"/>
          <w:sz w:val="24"/>
          <w:szCs w:val="24"/>
        </w:rPr>
        <w:fldChar w:fldCharType="end"/>
      </w:r>
      <w:r w:rsidRPr="00FF1253">
        <w:rPr>
          <w:color w:val="000000" w:themeColor="text1"/>
          <w:sz w:val="24"/>
          <w:szCs w:val="24"/>
        </w:rPr>
        <w:t>: Funding available for allocation through CAP and the numbers of people who received support</w:t>
      </w:r>
      <w:r w:rsidR="009E7764">
        <w:rPr>
          <w:color w:val="000000" w:themeColor="text1"/>
          <w:sz w:val="24"/>
          <w:szCs w:val="24"/>
        </w:rPr>
        <w:t xml:space="preserve"> from 2009/10 to 2012/13</w:t>
      </w:r>
    </w:p>
    <w:tbl>
      <w:tblPr>
        <w:tblStyle w:val="TableGrid"/>
        <w:tblW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0"/>
        <w:gridCol w:w="1156"/>
        <w:gridCol w:w="1156"/>
        <w:gridCol w:w="1156"/>
        <w:gridCol w:w="1156"/>
      </w:tblGrid>
      <w:tr w:rsidR="008D2E57" w:rsidRPr="008D2E57" w:rsidTr="00F35CAA">
        <w:tc>
          <w:tcPr>
            <w:tcW w:w="0" w:type="auto"/>
          </w:tcPr>
          <w:p w:rsidR="008D2E57" w:rsidRPr="008D2E57" w:rsidRDefault="008D2E57" w:rsidP="00F35CAA">
            <w:pPr>
              <w:tabs>
                <w:tab w:val="left" w:pos="567"/>
              </w:tabs>
              <w:spacing w:line="240" w:lineRule="auto"/>
              <w:ind w:left="0" w:right="0"/>
              <w:rPr>
                <w:rStyle w:val="SubtleEmphasis"/>
                <w:b/>
                <w:sz w:val="26"/>
                <w:szCs w:val="26"/>
              </w:rPr>
            </w:pPr>
          </w:p>
        </w:tc>
        <w:tc>
          <w:tcPr>
            <w:tcW w:w="0" w:type="auto"/>
          </w:tcPr>
          <w:p w:rsidR="008D2E57" w:rsidRPr="008D2E57" w:rsidRDefault="008D2E57" w:rsidP="00F35CAA">
            <w:pPr>
              <w:tabs>
                <w:tab w:val="left" w:pos="567"/>
              </w:tabs>
              <w:spacing w:line="240" w:lineRule="auto"/>
              <w:ind w:left="0" w:right="0"/>
              <w:rPr>
                <w:rStyle w:val="SubtleEmphasis"/>
                <w:b/>
                <w:sz w:val="26"/>
                <w:szCs w:val="26"/>
              </w:rPr>
            </w:pPr>
            <w:r w:rsidRPr="008D2E57">
              <w:rPr>
                <w:rStyle w:val="SubtleEmphasis"/>
                <w:b/>
                <w:sz w:val="26"/>
                <w:szCs w:val="26"/>
              </w:rPr>
              <w:t>2009/10</w:t>
            </w:r>
          </w:p>
        </w:tc>
        <w:tc>
          <w:tcPr>
            <w:tcW w:w="0" w:type="auto"/>
          </w:tcPr>
          <w:p w:rsidR="008D2E57" w:rsidRPr="008D2E57" w:rsidRDefault="008D2E57" w:rsidP="00F35CAA">
            <w:pPr>
              <w:tabs>
                <w:tab w:val="left" w:pos="567"/>
              </w:tabs>
              <w:spacing w:line="240" w:lineRule="auto"/>
              <w:ind w:left="0" w:right="0"/>
              <w:rPr>
                <w:rStyle w:val="SubtleEmphasis"/>
                <w:b/>
                <w:sz w:val="26"/>
                <w:szCs w:val="26"/>
              </w:rPr>
            </w:pPr>
            <w:r w:rsidRPr="008D2E57">
              <w:rPr>
                <w:rStyle w:val="SubtleEmphasis"/>
                <w:b/>
                <w:sz w:val="26"/>
                <w:szCs w:val="26"/>
              </w:rPr>
              <w:t>2010/11</w:t>
            </w:r>
          </w:p>
        </w:tc>
        <w:tc>
          <w:tcPr>
            <w:tcW w:w="0" w:type="auto"/>
          </w:tcPr>
          <w:p w:rsidR="008D2E57" w:rsidRPr="008D2E57" w:rsidRDefault="008D2E57" w:rsidP="00F35CAA">
            <w:pPr>
              <w:tabs>
                <w:tab w:val="left" w:pos="567"/>
              </w:tabs>
              <w:spacing w:line="240" w:lineRule="auto"/>
              <w:ind w:left="0" w:right="0"/>
              <w:rPr>
                <w:rStyle w:val="SubtleEmphasis"/>
                <w:b/>
                <w:sz w:val="26"/>
                <w:szCs w:val="26"/>
              </w:rPr>
            </w:pPr>
            <w:r w:rsidRPr="008D2E57">
              <w:rPr>
                <w:rStyle w:val="SubtleEmphasis"/>
                <w:b/>
                <w:sz w:val="26"/>
                <w:szCs w:val="26"/>
              </w:rPr>
              <w:t>2011/12</w:t>
            </w:r>
          </w:p>
        </w:tc>
        <w:tc>
          <w:tcPr>
            <w:tcW w:w="0" w:type="auto"/>
          </w:tcPr>
          <w:p w:rsidR="008D2E57" w:rsidRPr="008D2E57" w:rsidRDefault="008D2E57" w:rsidP="00B23483">
            <w:pPr>
              <w:tabs>
                <w:tab w:val="left" w:pos="567"/>
              </w:tabs>
              <w:spacing w:after="120" w:line="240" w:lineRule="auto"/>
              <w:ind w:left="0" w:right="0"/>
              <w:rPr>
                <w:rStyle w:val="SubtleEmphasis"/>
                <w:b/>
                <w:sz w:val="26"/>
                <w:szCs w:val="26"/>
              </w:rPr>
            </w:pPr>
            <w:r w:rsidRPr="008D2E57">
              <w:rPr>
                <w:rStyle w:val="SubtleEmphasis"/>
                <w:b/>
                <w:sz w:val="26"/>
                <w:szCs w:val="26"/>
              </w:rPr>
              <w:t>2012/13</w:t>
            </w:r>
          </w:p>
        </w:tc>
      </w:tr>
      <w:tr w:rsidR="008D2E57" w:rsidTr="00F35CAA">
        <w:tc>
          <w:tcPr>
            <w:tcW w:w="0" w:type="auto"/>
            <w:shd w:val="clear" w:color="auto" w:fill="EEF3F8"/>
          </w:tcPr>
          <w:p w:rsidR="008D2E57" w:rsidRDefault="008D2E57" w:rsidP="00F35CAA">
            <w:pPr>
              <w:pStyle w:val="tabletext"/>
              <w:tabs>
                <w:tab w:val="left" w:pos="567"/>
              </w:tabs>
              <w:spacing w:before="0" w:after="0"/>
              <w:ind w:left="0"/>
              <w:rPr>
                <w:rStyle w:val="SubtleEmphasis"/>
              </w:rPr>
            </w:pPr>
            <w:r>
              <w:rPr>
                <w:rStyle w:val="SubtleEmphasis"/>
              </w:rPr>
              <w:t>Total new funding allocated (in millions)</w:t>
            </w:r>
          </w:p>
        </w:tc>
        <w:tc>
          <w:tcPr>
            <w:tcW w:w="0" w:type="auto"/>
            <w:shd w:val="clear" w:color="auto" w:fill="EEF3F8"/>
          </w:tcPr>
          <w:p w:rsidR="008D2E57" w:rsidRDefault="008D2E57" w:rsidP="00F35CAA">
            <w:pPr>
              <w:pStyle w:val="tabletext"/>
              <w:tabs>
                <w:tab w:val="left" w:pos="567"/>
              </w:tabs>
              <w:spacing w:before="0" w:after="0"/>
              <w:ind w:left="0"/>
              <w:rPr>
                <w:rStyle w:val="SubtleEmphasis"/>
              </w:rPr>
            </w:pPr>
            <w:r>
              <w:rPr>
                <w:rStyle w:val="SubtleEmphasis"/>
              </w:rPr>
              <w:t xml:space="preserve">$21.1 </w:t>
            </w:r>
          </w:p>
        </w:tc>
        <w:tc>
          <w:tcPr>
            <w:tcW w:w="0" w:type="auto"/>
            <w:shd w:val="clear" w:color="auto" w:fill="EEF3F8"/>
          </w:tcPr>
          <w:p w:rsidR="008D2E57" w:rsidRDefault="008D2E57" w:rsidP="00F35CAA">
            <w:pPr>
              <w:pStyle w:val="tabletext"/>
              <w:tabs>
                <w:tab w:val="left" w:pos="567"/>
              </w:tabs>
              <w:spacing w:before="0" w:after="0"/>
              <w:ind w:left="0"/>
              <w:rPr>
                <w:rStyle w:val="SubtleEmphasis"/>
              </w:rPr>
            </w:pPr>
            <w:r>
              <w:rPr>
                <w:rStyle w:val="SubtleEmphasis"/>
              </w:rPr>
              <w:t xml:space="preserve">$32.2 </w:t>
            </w:r>
          </w:p>
        </w:tc>
        <w:tc>
          <w:tcPr>
            <w:tcW w:w="0" w:type="auto"/>
            <w:shd w:val="clear" w:color="auto" w:fill="EEF3F8"/>
          </w:tcPr>
          <w:p w:rsidR="008D2E57" w:rsidRDefault="008D2E57" w:rsidP="00F35CAA">
            <w:pPr>
              <w:pStyle w:val="tabletext"/>
              <w:tabs>
                <w:tab w:val="left" w:pos="567"/>
              </w:tabs>
              <w:spacing w:before="0" w:after="0"/>
              <w:ind w:left="0"/>
              <w:rPr>
                <w:rStyle w:val="SubtleEmphasis"/>
              </w:rPr>
            </w:pPr>
            <w:r>
              <w:rPr>
                <w:rStyle w:val="SubtleEmphasis"/>
              </w:rPr>
              <w:t xml:space="preserve">$40.3 </w:t>
            </w:r>
          </w:p>
        </w:tc>
        <w:tc>
          <w:tcPr>
            <w:tcW w:w="0" w:type="auto"/>
            <w:shd w:val="clear" w:color="auto" w:fill="EEF3F8"/>
          </w:tcPr>
          <w:p w:rsidR="008D2E57" w:rsidRDefault="008D2E57" w:rsidP="00F35CAA">
            <w:pPr>
              <w:pStyle w:val="tabletext"/>
              <w:tabs>
                <w:tab w:val="left" w:pos="567"/>
              </w:tabs>
              <w:spacing w:before="0" w:after="0"/>
              <w:ind w:left="0"/>
              <w:rPr>
                <w:rStyle w:val="SubtleEmphasis"/>
              </w:rPr>
            </w:pPr>
            <w:r>
              <w:rPr>
                <w:rStyle w:val="SubtleEmphasis"/>
              </w:rPr>
              <w:t xml:space="preserve">$23.6 </w:t>
            </w:r>
          </w:p>
        </w:tc>
      </w:tr>
      <w:tr w:rsidR="008D2E57" w:rsidTr="00F35CAA">
        <w:tc>
          <w:tcPr>
            <w:tcW w:w="0" w:type="auto"/>
          </w:tcPr>
          <w:p w:rsidR="008D2E57" w:rsidRDefault="008D2E57" w:rsidP="00F35CAA">
            <w:pPr>
              <w:pStyle w:val="tabletext"/>
              <w:tabs>
                <w:tab w:val="left" w:pos="567"/>
              </w:tabs>
              <w:spacing w:before="0" w:after="0"/>
              <w:ind w:left="0"/>
              <w:rPr>
                <w:rStyle w:val="SubtleEmphasis"/>
              </w:rPr>
            </w:pPr>
            <w:r>
              <w:rPr>
                <w:rStyle w:val="SubtleEmphasis"/>
              </w:rPr>
              <w:t>Total number of new people receiving funding through CAP</w:t>
            </w:r>
          </w:p>
        </w:tc>
        <w:tc>
          <w:tcPr>
            <w:tcW w:w="0" w:type="auto"/>
          </w:tcPr>
          <w:p w:rsidR="008D2E57" w:rsidRDefault="008D2E57" w:rsidP="00F35CAA">
            <w:pPr>
              <w:pStyle w:val="tabletext"/>
              <w:tabs>
                <w:tab w:val="left" w:pos="567"/>
              </w:tabs>
              <w:spacing w:before="0" w:after="0"/>
              <w:ind w:left="0"/>
              <w:rPr>
                <w:rStyle w:val="SubtleEmphasis"/>
              </w:rPr>
            </w:pPr>
            <w:r>
              <w:rPr>
                <w:rStyle w:val="SubtleEmphasis"/>
              </w:rPr>
              <w:t>287</w:t>
            </w:r>
          </w:p>
        </w:tc>
        <w:tc>
          <w:tcPr>
            <w:tcW w:w="0" w:type="auto"/>
          </w:tcPr>
          <w:p w:rsidR="008D2E57" w:rsidRDefault="008D2E57" w:rsidP="00F35CAA">
            <w:pPr>
              <w:pStyle w:val="tabletext"/>
              <w:tabs>
                <w:tab w:val="left" w:pos="567"/>
              </w:tabs>
              <w:spacing w:before="0" w:after="0"/>
              <w:ind w:left="0"/>
              <w:rPr>
                <w:rStyle w:val="SubtleEmphasis"/>
              </w:rPr>
            </w:pPr>
            <w:r>
              <w:rPr>
                <w:rStyle w:val="SubtleEmphasis"/>
              </w:rPr>
              <w:t>362</w:t>
            </w:r>
          </w:p>
        </w:tc>
        <w:tc>
          <w:tcPr>
            <w:tcW w:w="0" w:type="auto"/>
          </w:tcPr>
          <w:p w:rsidR="008D2E57" w:rsidRDefault="008D2E57" w:rsidP="00F35CAA">
            <w:pPr>
              <w:pStyle w:val="tabletext"/>
              <w:tabs>
                <w:tab w:val="left" w:pos="567"/>
              </w:tabs>
              <w:spacing w:before="0" w:after="0"/>
              <w:ind w:left="0"/>
              <w:rPr>
                <w:rStyle w:val="SubtleEmphasis"/>
              </w:rPr>
            </w:pPr>
            <w:r>
              <w:rPr>
                <w:rStyle w:val="SubtleEmphasis"/>
              </w:rPr>
              <w:t>430</w:t>
            </w:r>
          </w:p>
        </w:tc>
        <w:tc>
          <w:tcPr>
            <w:tcW w:w="0" w:type="auto"/>
          </w:tcPr>
          <w:p w:rsidR="008D2E57" w:rsidRDefault="008D2E57" w:rsidP="00F35CAA">
            <w:pPr>
              <w:pStyle w:val="tabletext"/>
              <w:tabs>
                <w:tab w:val="left" w:pos="567"/>
              </w:tabs>
              <w:spacing w:before="0" w:after="0"/>
              <w:ind w:left="0"/>
              <w:rPr>
                <w:rStyle w:val="SubtleEmphasis"/>
              </w:rPr>
            </w:pPr>
            <w:r>
              <w:rPr>
                <w:rStyle w:val="SubtleEmphasis"/>
              </w:rPr>
              <w:t>262</w:t>
            </w:r>
          </w:p>
        </w:tc>
      </w:tr>
      <w:tr w:rsidR="008D2E57" w:rsidTr="00F35CAA">
        <w:tc>
          <w:tcPr>
            <w:tcW w:w="0" w:type="auto"/>
            <w:shd w:val="clear" w:color="auto" w:fill="EEF3F8"/>
          </w:tcPr>
          <w:p w:rsidR="008D2E57" w:rsidRDefault="008D2E57" w:rsidP="00F35CAA">
            <w:pPr>
              <w:pStyle w:val="tabletext"/>
              <w:tabs>
                <w:tab w:val="left" w:pos="567"/>
              </w:tabs>
              <w:spacing w:before="0" w:after="0"/>
              <w:ind w:left="0"/>
              <w:rPr>
                <w:rStyle w:val="SubtleEmphasis"/>
              </w:rPr>
            </w:pPr>
            <w:r>
              <w:rPr>
                <w:rStyle w:val="SubtleEmphasis"/>
              </w:rPr>
              <w:t xml:space="preserve">Total number of people receiving more </w:t>
            </w:r>
            <w:r>
              <w:rPr>
                <w:rStyle w:val="SubtleEmphasis"/>
              </w:rPr>
              <w:br/>
              <w:t>funding through CAP for increased supports</w:t>
            </w:r>
          </w:p>
        </w:tc>
        <w:tc>
          <w:tcPr>
            <w:tcW w:w="0" w:type="auto"/>
            <w:shd w:val="clear" w:color="auto" w:fill="EEF3F8"/>
          </w:tcPr>
          <w:p w:rsidR="008D2E57" w:rsidRDefault="008D2E57" w:rsidP="00F35CAA">
            <w:pPr>
              <w:pStyle w:val="tabletext"/>
              <w:tabs>
                <w:tab w:val="left" w:pos="567"/>
              </w:tabs>
              <w:spacing w:before="0" w:after="0"/>
              <w:ind w:left="0"/>
              <w:rPr>
                <w:rStyle w:val="SubtleEmphasis"/>
              </w:rPr>
            </w:pPr>
            <w:r>
              <w:rPr>
                <w:rStyle w:val="SubtleEmphasis"/>
              </w:rPr>
              <w:t>35</w:t>
            </w:r>
          </w:p>
        </w:tc>
        <w:tc>
          <w:tcPr>
            <w:tcW w:w="0" w:type="auto"/>
            <w:shd w:val="clear" w:color="auto" w:fill="EEF3F8"/>
          </w:tcPr>
          <w:p w:rsidR="008D2E57" w:rsidRDefault="008D2E57" w:rsidP="00F35CAA">
            <w:pPr>
              <w:pStyle w:val="tabletext"/>
              <w:tabs>
                <w:tab w:val="left" w:pos="567"/>
              </w:tabs>
              <w:spacing w:before="0" w:after="0"/>
              <w:ind w:left="0"/>
              <w:rPr>
                <w:rStyle w:val="SubtleEmphasis"/>
              </w:rPr>
            </w:pPr>
            <w:r>
              <w:rPr>
                <w:rStyle w:val="SubtleEmphasis"/>
              </w:rPr>
              <w:t>96</w:t>
            </w:r>
          </w:p>
        </w:tc>
        <w:tc>
          <w:tcPr>
            <w:tcW w:w="0" w:type="auto"/>
            <w:shd w:val="clear" w:color="auto" w:fill="EEF3F8"/>
          </w:tcPr>
          <w:p w:rsidR="008D2E57" w:rsidRDefault="008D2E57" w:rsidP="00F35CAA">
            <w:pPr>
              <w:pStyle w:val="tabletext"/>
              <w:tabs>
                <w:tab w:val="left" w:pos="567"/>
              </w:tabs>
              <w:spacing w:before="0" w:after="0"/>
              <w:ind w:left="0"/>
              <w:rPr>
                <w:rStyle w:val="SubtleEmphasis"/>
              </w:rPr>
            </w:pPr>
            <w:r>
              <w:rPr>
                <w:rStyle w:val="SubtleEmphasis"/>
              </w:rPr>
              <w:t>88</w:t>
            </w:r>
          </w:p>
        </w:tc>
        <w:tc>
          <w:tcPr>
            <w:tcW w:w="0" w:type="auto"/>
            <w:shd w:val="clear" w:color="auto" w:fill="EEF3F8"/>
          </w:tcPr>
          <w:p w:rsidR="008D2E57" w:rsidRDefault="008D2E57" w:rsidP="00F35CAA">
            <w:pPr>
              <w:pStyle w:val="tabletext"/>
              <w:tabs>
                <w:tab w:val="left" w:pos="567"/>
              </w:tabs>
              <w:spacing w:before="0" w:after="0"/>
              <w:ind w:left="0"/>
              <w:rPr>
                <w:rStyle w:val="SubtleEmphasis"/>
              </w:rPr>
            </w:pPr>
            <w:r>
              <w:rPr>
                <w:rStyle w:val="SubtleEmphasis"/>
              </w:rPr>
              <w:t>32</w:t>
            </w:r>
          </w:p>
        </w:tc>
      </w:tr>
    </w:tbl>
    <w:p w:rsidR="00020677" w:rsidRDefault="00020677" w:rsidP="00F35CAA">
      <w:pPr>
        <w:pStyle w:val="Heading1"/>
        <w:tabs>
          <w:tab w:val="left" w:pos="567"/>
        </w:tabs>
        <w:spacing w:after="0"/>
        <w:ind w:left="0"/>
        <w:rPr>
          <w:rStyle w:val="SubtleEmphasis"/>
          <w:b w:val="0"/>
          <w:sz w:val="24"/>
          <w:szCs w:val="24"/>
        </w:rPr>
      </w:pPr>
    </w:p>
    <w:p w:rsidR="00F35CAA" w:rsidRDefault="0096586C" w:rsidP="00F35CAA">
      <w:pPr>
        <w:pStyle w:val="Heading1"/>
        <w:tabs>
          <w:tab w:val="left" w:pos="567"/>
        </w:tabs>
        <w:spacing w:after="0"/>
        <w:ind w:left="0"/>
        <w:rPr>
          <w:rStyle w:val="SubtleEmphasis"/>
          <w:b w:val="0"/>
          <w:sz w:val="24"/>
          <w:szCs w:val="24"/>
        </w:rPr>
      </w:pPr>
      <w:r>
        <w:rPr>
          <w:rStyle w:val="SubtleEmphasis"/>
          <w:b w:val="0"/>
          <w:sz w:val="24"/>
          <w:szCs w:val="24"/>
        </w:rPr>
        <w:t xml:space="preserve">Most </w:t>
      </w:r>
      <w:r w:rsidR="009E7764">
        <w:rPr>
          <w:rStyle w:val="SubtleEmphasis"/>
          <w:b w:val="0"/>
          <w:sz w:val="24"/>
          <w:szCs w:val="24"/>
        </w:rPr>
        <w:t>CAP a</w:t>
      </w:r>
      <w:r w:rsidR="00EB670F">
        <w:rPr>
          <w:rStyle w:val="SubtleEmphasis"/>
          <w:b w:val="0"/>
          <w:sz w:val="24"/>
          <w:szCs w:val="24"/>
        </w:rPr>
        <w:t xml:space="preserve">pplications, </w:t>
      </w:r>
      <w:r>
        <w:rPr>
          <w:rStyle w:val="SubtleEmphasis"/>
          <w:b w:val="0"/>
          <w:sz w:val="24"/>
          <w:szCs w:val="24"/>
        </w:rPr>
        <w:t xml:space="preserve">if </w:t>
      </w:r>
      <w:r w:rsidR="00EB670F">
        <w:rPr>
          <w:rStyle w:val="SubtleEmphasis"/>
          <w:b w:val="0"/>
          <w:sz w:val="24"/>
          <w:szCs w:val="24"/>
        </w:rPr>
        <w:t>not funded,</w:t>
      </w:r>
      <w:r w:rsidR="008D2E57">
        <w:rPr>
          <w:rStyle w:val="SubtleEmphasis"/>
          <w:b w:val="0"/>
          <w:sz w:val="24"/>
          <w:szCs w:val="24"/>
        </w:rPr>
        <w:t xml:space="preserve"> </w:t>
      </w:r>
      <w:r w:rsidR="00EB670F">
        <w:rPr>
          <w:rStyle w:val="SubtleEmphasis"/>
          <w:b w:val="0"/>
          <w:sz w:val="24"/>
          <w:szCs w:val="24"/>
        </w:rPr>
        <w:t>carry</w:t>
      </w:r>
      <w:r w:rsidR="008D2E57">
        <w:rPr>
          <w:rStyle w:val="SubtleEmphasis"/>
          <w:b w:val="0"/>
          <w:sz w:val="24"/>
          <w:szCs w:val="24"/>
        </w:rPr>
        <w:t xml:space="preserve"> over into the next</w:t>
      </w:r>
      <w:r w:rsidR="00EB670F">
        <w:rPr>
          <w:rStyle w:val="SubtleEmphasis"/>
          <w:b w:val="0"/>
          <w:sz w:val="24"/>
          <w:szCs w:val="24"/>
        </w:rPr>
        <w:t xml:space="preserve"> CAP</w:t>
      </w:r>
      <w:r w:rsidR="008D2E57">
        <w:rPr>
          <w:rStyle w:val="SubtleEmphasis"/>
          <w:b w:val="0"/>
          <w:sz w:val="24"/>
          <w:szCs w:val="24"/>
        </w:rPr>
        <w:t xml:space="preserve"> </w:t>
      </w:r>
      <w:r w:rsidR="00EB670F">
        <w:rPr>
          <w:rStyle w:val="SubtleEmphasis"/>
          <w:b w:val="0"/>
          <w:sz w:val="24"/>
          <w:szCs w:val="24"/>
        </w:rPr>
        <w:t>round</w:t>
      </w:r>
      <w:r w:rsidR="00F47CE9">
        <w:rPr>
          <w:rStyle w:val="SubtleEmphasis"/>
          <w:b w:val="0"/>
          <w:sz w:val="24"/>
          <w:szCs w:val="24"/>
        </w:rPr>
        <w:t>. O</w:t>
      </w:r>
      <w:r w:rsidR="00EB670F">
        <w:rPr>
          <w:rStyle w:val="SubtleEmphasis"/>
          <w:b w:val="0"/>
          <w:sz w:val="24"/>
          <w:szCs w:val="24"/>
        </w:rPr>
        <w:t>n</w:t>
      </w:r>
      <w:r w:rsidR="008D2E57">
        <w:rPr>
          <w:rStyle w:val="SubtleEmphasis"/>
          <w:b w:val="0"/>
          <w:sz w:val="24"/>
          <w:szCs w:val="24"/>
        </w:rPr>
        <w:t xml:space="preserve"> average two thirds of the applications </w:t>
      </w:r>
      <w:r w:rsidR="00524EF3">
        <w:rPr>
          <w:rStyle w:val="SubtleEmphasis"/>
          <w:b w:val="0"/>
          <w:sz w:val="24"/>
          <w:szCs w:val="24"/>
        </w:rPr>
        <w:t xml:space="preserve">processed in each CAP round </w:t>
      </w:r>
      <w:r w:rsidR="00D16552">
        <w:rPr>
          <w:rStyle w:val="SubtleEmphasis"/>
          <w:b w:val="0"/>
          <w:sz w:val="24"/>
          <w:szCs w:val="24"/>
        </w:rPr>
        <w:t xml:space="preserve">carry </w:t>
      </w:r>
      <w:r w:rsidR="008D2E57">
        <w:rPr>
          <w:rStyle w:val="SubtleEmphasis"/>
          <w:b w:val="0"/>
          <w:sz w:val="24"/>
          <w:szCs w:val="24"/>
        </w:rPr>
        <w:t>over</w:t>
      </w:r>
      <w:r w:rsidR="00524EF3">
        <w:rPr>
          <w:rStyle w:val="SubtleEmphasis"/>
          <w:b w:val="0"/>
          <w:sz w:val="24"/>
          <w:szCs w:val="24"/>
        </w:rPr>
        <w:t xml:space="preserve"> to the next</w:t>
      </w:r>
      <w:r w:rsidR="008D2E57">
        <w:rPr>
          <w:rStyle w:val="SubtleEmphasis"/>
          <w:b w:val="0"/>
          <w:sz w:val="24"/>
          <w:szCs w:val="24"/>
        </w:rPr>
        <w:t>.</w:t>
      </w:r>
      <w:r w:rsidR="00B23483">
        <w:rPr>
          <w:rStyle w:val="SubtleEmphasis"/>
          <w:b w:val="0"/>
          <w:sz w:val="24"/>
          <w:szCs w:val="24"/>
        </w:rPr>
        <w:t xml:space="preserve"> </w:t>
      </w:r>
      <w:r w:rsidR="008D2E57">
        <w:rPr>
          <w:rStyle w:val="SubtleEmphasis"/>
          <w:b w:val="0"/>
          <w:sz w:val="24"/>
          <w:szCs w:val="24"/>
        </w:rPr>
        <w:t xml:space="preserve"> While a person may not receive their funding request immediately, </w:t>
      </w:r>
      <w:r w:rsidR="00F47CE9">
        <w:rPr>
          <w:rStyle w:val="SubtleEmphasis"/>
          <w:b w:val="0"/>
          <w:sz w:val="24"/>
          <w:szCs w:val="24"/>
        </w:rPr>
        <w:t xml:space="preserve">most </w:t>
      </w:r>
      <w:r w:rsidR="006D7B69">
        <w:rPr>
          <w:rStyle w:val="SubtleEmphasis"/>
          <w:b w:val="0"/>
          <w:sz w:val="24"/>
          <w:szCs w:val="24"/>
        </w:rPr>
        <w:t>applicants access alternative services from a range of service providers while waiting for subsequent funding rounds to be processed</w:t>
      </w:r>
      <w:r w:rsidR="008D2E57">
        <w:rPr>
          <w:rStyle w:val="SubtleEmphasis"/>
          <w:b w:val="0"/>
          <w:sz w:val="24"/>
          <w:szCs w:val="24"/>
        </w:rPr>
        <w:t>.</w:t>
      </w:r>
    </w:p>
    <w:p w:rsidR="00886292" w:rsidRDefault="00886292" w:rsidP="00F35CAA">
      <w:pPr>
        <w:pStyle w:val="Heading1"/>
        <w:tabs>
          <w:tab w:val="left" w:pos="567"/>
        </w:tabs>
        <w:spacing w:after="0"/>
        <w:ind w:left="0"/>
        <w:rPr>
          <w:rStyle w:val="SubtleEmphasis"/>
          <w:b w:val="0"/>
          <w:sz w:val="24"/>
          <w:szCs w:val="24"/>
        </w:rPr>
      </w:pPr>
    </w:p>
    <w:p w:rsidR="004611D1" w:rsidRPr="00E827B9" w:rsidRDefault="00524EF3" w:rsidP="00F35CAA">
      <w:pPr>
        <w:pStyle w:val="Heading1"/>
        <w:tabs>
          <w:tab w:val="left" w:pos="567"/>
        </w:tabs>
        <w:spacing w:after="0"/>
        <w:ind w:left="0"/>
        <w:rPr>
          <w:b w:val="0"/>
          <w:color w:val="000000" w:themeColor="text1"/>
          <w:sz w:val="24"/>
          <w:szCs w:val="24"/>
        </w:rPr>
      </w:pPr>
      <w:r>
        <w:rPr>
          <w:rStyle w:val="SubtleEmphasis"/>
          <w:b w:val="0"/>
          <w:sz w:val="24"/>
          <w:szCs w:val="24"/>
        </w:rPr>
        <w:t>The average waiting period between an application being made to CAP and receiving fun</w:t>
      </w:r>
      <w:r w:rsidR="00886292">
        <w:rPr>
          <w:rStyle w:val="SubtleEmphasis"/>
          <w:b w:val="0"/>
          <w:sz w:val="24"/>
          <w:szCs w:val="24"/>
        </w:rPr>
        <w:t>ding was two years or less,</w:t>
      </w:r>
      <w:r>
        <w:rPr>
          <w:rStyle w:val="SubtleEmphasis"/>
          <w:b w:val="0"/>
          <w:sz w:val="24"/>
          <w:szCs w:val="24"/>
        </w:rPr>
        <w:t xml:space="preserve"> 95.3 per cent of </w:t>
      </w:r>
      <w:r w:rsidR="00886292">
        <w:rPr>
          <w:rStyle w:val="SubtleEmphasis"/>
          <w:b w:val="0"/>
          <w:sz w:val="24"/>
          <w:szCs w:val="24"/>
        </w:rPr>
        <w:t xml:space="preserve">all </w:t>
      </w:r>
      <w:r>
        <w:rPr>
          <w:rStyle w:val="SubtleEmphasis"/>
          <w:b w:val="0"/>
          <w:sz w:val="24"/>
          <w:szCs w:val="24"/>
        </w:rPr>
        <w:t>people that received a CAP funding allocation in 2012/13</w:t>
      </w:r>
      <w:r w:rsidR="00886292">
        <w:rPr>
          <w:rStyle w:val="SubtleEmphasis"/>
          <w:b w:val="0"/>
          <w:sz w:val="24"/>
          <w:szCs w:val="24"/>
        </w:rPr>
        <w:t xml:space="preserve"> had their application in the process for this period.</w:t>
      </w:r>
      <w:r w:rsidR="00BB041A">
        <w:rPr>
          <w:rStyle w:val="SubtleEmphasis"/>
          <w:b w:val="0"/>
          <w:sz w:val="24"/>
          <w:szCs w:val="24"/>
        </w:rPr>
        <w:t xml:space="preserve"> </w:t>
      </w:r>
    </w:p>
    <w:p w:rsidR="00BE431D" w:rsidRDefault="00BE431D" w:rsidP="00F35CAA">
      <w:pPr>
        <w:pStyle w:val="Heading4"/>
        <w:keepNext w:val="0"/>
        <w:keepLines w:val="0"/>
        <w:tabs>
          <w:tab w:val="left" w:pos="567"/>
        </w:tabs>
        <w:spacing w:after="0"/>
        <w:ind w:left="0"/>
        <w:rPr>
          <w:rStyle w:val="SubtleEmphasis"/>
          <w:color w:val="005E79"/>
        </w:rPr>
      </w:pPr>
    </w:p>
    <w:p w:rsidR="00A25524" w:rsidRPr="00A25524" w:rsidRDefault="00A25524" w:rsidP="00F35CAA">
      <w:pPr>
        <w:pStyle w:val="Heading4"/>
        <w:keepNext w:val="0"/>
        <w:keepLines w:val="0"/>
        <w:tabs>
          <w:tab w:val="left" w:pos="567"/>
        </w:tabs>
        <w:spacing w:after="0"/>
        <w:ind w:left="0"/>
        <w:rPr>
          <w:rStyle w:val="SubtleEmphasis"/>
          <w:color w:val="005E79"/>
        </w:rPr>
      </w:pPr>
      <w:r>
        <w:rPr>
          <w:rStyle w:val="SubtleEmphasis"/>
          <w:color w:val="005E79"/>
        </w:rPr>
        <w:t>Age distributions of people funded through CAP in 2012/13</w:t>
      </w:r>
    </w:p>
    <w:p w:rsidR="00A25524" w:rsidRDefault="005B14A2" w:rsidP="00F35CAA">
      <w:pPr>
        <w:tabs>
          <w:tab w:val="left" w:pos="567"/>
          <w:tab w:val="left" w:pos="10915"/>
        </w:tabs>
        <w:spacing w:line="240" w:lineRule="auto"/>
        <w:ind w:left="0" w:right="0"/>
        <w:rPr>
          <w:rStyle w:val="SubtleEmphasis"/>
          <w:szCs w:val="24"/>
        </w:rPr>
      </w:pPr>
      <w:r w:rsidRPr="0056397A">
        <w:rPr>
          <w:rStyle w:val="SubtleEmphasis"/>
          <w:b/>
          <w:szCs w:val="24"/>
        </w:rPr>
        <w:t>Figure 3</w:t>
      </w:r>
      <w:r w:rsidR="003D6A77">
        <w:rPr>
          <w:rStyle w:val="SubtleEmphasis"/>
          <w:szCs w:val="24"/>
        </w:rPr>
        <w:t xml:space="preserve"> </w:t>
      </w:r>
      <w:r w:rsidR="00A25524">
        <w:rPr>
          <w:rStyle w:val="SubtleEmphasis"/>
          <w:szCs w:val="24"/>
        </w:rPr>
        <w:t xml:space="preserve">provides information about the age distribution of people who were successfully funded through CAP for Accommodation Support, Alternatives to Employment and Intensive Family Support. </w:t>
      </w:r>
      <w:r w:rsidR="00B23483">
        <w:rPr>
          <w:rStyle w:val="SubtleEmphasis"/>
          <w:szCs w:val="24"/>
        </w:rPr>
        <w:t xml:space="preserve"> </w:t>
      </w:r>
      <w:r w:rsidR="003D6A77">
        <w:rPr>
          <w:rStyle w:val="SubtleEmphasis"/>
          <w:szCs w:val="24"/>
        </w:rPr>
        <w:t>The following observations can be made:</w:t>
      </w:r>
    </w:p>
    <w:p w:rsidR="003D6A77" w:rsidRDefault="003D6A77" w:rsidP="00F35CAA">
      <w:pPr>
        <w:pStyle w:val="ListParagraph"/>
        <w:numPr>
          <w:ilvl w:val="0"/>
          <w:numId w:val="7"/>
        </w:numPr>
        <w:tabs>
          <w:tab w:val="left" w:pos="567"/>
          <w:tab w:val="left" w:pos="10915"/>
        </w:tabs>
        <w:spacing w:line="240" w:lineRule="auto"/>
        <w:ind w:left="567" w:right="0" w:hanging="567"/>
        <w:contextualSpacing w:val="0"/>
        <w:rPr>
          <w:rStyle w:val="SubtleEmphasis"/>
          <w:szCs w:val="24"/>
        </w:rPr>
      </w:pPr>
      <w:r>
        <w:rPr>
          <w:rStyle w:val="SubtleEmphasis"/>
          <w:szCs w:val="24"/>
        </w:rPr>
        <w:t xml:space="preserve">Almost 34 per cent of people funded </w:t>
      </w:r>
      <w:r w:rsidR="00D35E2C">
        <w:rPr>
          <w:rStyle w:val="SubtleEmphasis"/>
          <w:szCs w:val="24"/>
        </w:rPr>
        <w:t xml:space="preserve">for </w:t>
      </w:r>
      <w:r>
        <w:rPr>
          <w:rStyle w:val="SubtleEmphasis"/>
          <w:szCs w:val="24"/>
        </w:rPr>
        <w:t xml:space="preserve">Accommodation Support were aged between </w:t>
      </w:r>
      <w:r w:rsidR="00291939">
        <w:rPr>
          <w:rStyle w:val="SubtleEmphasis"/>
          <w:szCs w:val="24"/>
        </w:rPr>
        <w:br/>
      </w:r>
      <w:r>
        <w:rPr>
          <w:rStyle w:val="SubtleEmphasis"/>
          <w:szCs w:val="24"/>
        </w:rPr>
        <w:t>15 and 19 years-of-age.</w:t>
      </w:r>
    </w:p>
    <w:p w:rsidR="003D6A77" w:rsidRDefault="003D6A77" w:rsidP="00F35CAA">
      <w:pPr>
        <w:pStyle w:val="ListParagraph"/>
        <w:numPr>
          <w:ilvl w:val="0"/>
          <w:numId w:val="7"/>
        </w:numPr>
        <w:tabs>
          <w:tab w:val="left" w:pos="567"/>
          <w:tab w:val="left" w:pos="10915"/>
        </w:tabs>
        <w:spacing w:line="240" w:lineRule="auto"/>
        <w:ind w:left="567" w:right="0" w:hanging="567"/>
        <w:contextualSpacing w:val="0"/>
        <w:rPr>
          <w:rStyle w:val="SubtleEmphasis"/>
          <w:szCs w:val="24"/>
        </w:rPr>
      </w:pPr>
      <w:r>
        <w:rPr>
          <w:rStyle w:val="SubtleEmphasis"/>
          <w:szCs w:val="24"/>
        </w:rPr>
        <w:t xml:space="preserve">Of those people funded </w:t>
      </w:r>
      <w:r w:rsidR="00D35E2C">
        <w:rPr>
          <w:rStyle w:val="SubtleEmphasis"/>
          <w:szCs w:val="24"/>
        </w:rPr>
        <w:t xml:space="preserve">for </w:t>
      </w:r>
      <w:r>
        <w:rPr>
          <w:rStyle w:val="SubtleEmphasis"/>
          <w:szCs w:val="24"/>
        </w:rPr>
        <w:t>Alternatives to Employment in 2012/13</w:t>
      </w:r>
      <w:r w:rsidR="00EB670F">
        <w:rPr>
          <w:rStyle w:val="SubtleEmphasis"/>
          <w:szCs w:val="24"/>
        </w:rPr>
        <w:t>,</w:t>
      </w:r>
      <w:r>
        <w:rPr>
          <w:rStyle w:val="SubtleEmphasis"/>
          <w:szCs w:val="24"/>
        </w:rPr>
        <w:t xml:space="preserve"> close to 54 per cent were aged between 40 and 59 years.</w:t>
      </w:r>
    </w:p>
    <w:p w:rsidR="003D6A77" w:rsidRDefault="00F47CE9" w:rsidP="00F35CAA">
      <w:pPr>
        <w:pStyle w:val="ListParagraph"/>
        <w:numPr>
          <w:ilvl w:val="0"/>
          <w:numId w:val="7"/>
        </w:numPr>
        <w:tabs>
          <w:tab w:val="left" w:pos="567"/>
          <w:tab w:val="left" w:pos="10915"/>
        </w:tabs>
        <w:spacing w:line="240" w:lineRule="auto"/>
        <w:ind w:left="567" w:right="0" w:hanging="567"/>
        <w:contextualSpacing w:val="0"/>
        <w:rPr>
          <w:rStyle w:val="SubtleEmphasis"/>
          <w:szCs w:val="24"/>
        </w:rPr>
      </w:pPr>
      <w:r>
        <w:rPr>
          <w:rStyle w:val="SubtleEmphasis"/>
          <w:szCs w:val="24"/>
        </w:rPr>
        <w:t xml:space="preserve">Most </w:t>
      </w:r>
      <w:r w:rsidR="003D6A77">
        <w:rPr>
          <w:rStyle w:val="SubtleEmphasis"/>
          <w:szCs w:val="24"/>
        </w:rPr>
        <w:t>people (69.4 per cent) funded</w:t>
      </w:r>
      <w:r w:rsidR="00D35E2C">
        <w:rPr>
          <w:rStyle w:val="SubtleEmphasis"/>
          <w:szCs w:val="24"/>
        </w:rPr>
        <w:t xml:space="preserve"> for</w:t>
      </w:r>
      <w:r w:rsidR="003D6A77">
        <w:rPr>
          <w:rStyle w:val="SubtleEmphasis"/>
          <w:szCs w:val="24"/>
        </w:rPr>
        <w:t xml:space="preserve"> Inte</w:t>
      </w:r>
      <w:r w:rsidR="0056397A">
        <w:rPr>
          <w:rStyle w:val="SubtleEmphasis"/>
          <w:szCs w:val="24"/>
        </w:rPr>
        <w:t>nsive Family Support in 2012/13</w:t>
      </w:r>
      <w:r>
        <w:rPr>
          <w:rStyle w:val="SubtleEmphasis"/>
          <w:szCs w:val="24"/>
        </w:rPr>
        <w:t xml:space="preserve"> </w:t>
      </w:r>
      <w:r w:rsidR="003D6A77">
        <w:rPr>
          <w:rStyle w:val="SubtleEmphasis"/>
          <w:szCs w:val="24"/>
        </w:rPr>
        <w:t xml:space="preserve">were school </w:t>
      </w:r>
      <w:r>
        <w:rPr>
          <w:rStyle w:val="SubtleEmphasis"/>
          <w:szCs w:val="24"/>
        </w:rPr>
        <w:t xml:space="preserve">of </w:t>
      </w:r>
      <w:r w:rsidR="00EB670F">
        <w:rPr>
          <w:rStyle w:val="SubtleEmphasis"/>
          <w:szCs w:val="24"/>
        </w:rPr>
        <w:t>age, which</w:t>
      </w:r>
      <w:r w:rsidR="003D6A77">
        <w:rPr>
          <w:rStyle w:val="SubtleEmphasis"/>
          <w:szCs w:val="24"/>
        </w:rPr>
        <w:t xml:space="preserve"> is between 5 and 19 years.</w:t>
      </w:r>
    </w:p>
    <w:p w:rsidR="00E91AEE" w:rsidRPr="003D6A77" w:rsidRDefault="00E91AEE" w:rsidP="00F35CAA">
      <w:pPr>
        <w:pStyle w:val="ListParagraph"/>
        <w:tabs>
          <w:tab w:val="left" w:pos="567"/>
          <w:tab w:val="left" w:pos="10915"/>
        </w:tabs>
        <w:spacing w:line="240" w:lineRule="auto"/>
        <w:ind w:left="0" w:right="0"/>
        <w:contextualSpacing w:val="0"/>
        <w:rPr>
          <w:rStyle w:val="SubtleEmphasis"/>
          <w:szCs w:val="24"/>
        </w:rPr>
      </w:pPr>
    </w:p>
    <w:p w:rsidR="00572F81" w:rsidRDefault="00572F81" w:rsidP="00F35CAA">
      <w:pPr>
        <w:widowControl/>
        <w:tabs>
          <w:tab w:val="left" w:pos="567"/>
        </w:tabs>
        <w:autoSpaceDE/>
        <w:autoSpaceDN/>
        <w:adjustRightInd/>
        <w:spacing w:line="240" w:lineRule="auto"/>
        <w:ind w:left="0" w:right="0"/>
        <w:rPr>
          <w:b/>
          <w:bCs/>
          <w:color w:val="000000" w:themeColor="text1"/>
          <w:kern w:val="28"/>
          <w:szCs w:val="24"/>
        </w:rPr>
      </w:pPr>
      <w:r>
        <w:rPr>
          <w:color w:val="000000" w:themeColor="text1"/>
          <w:szCs w:val="24"/>
        </w:rPr>
        <w:br w:type="page"/>
      </w:r>
    </w:p>
    <w:p w:rsidR="004611D1" w:rsidRDefault="004611D1" w:rsidP="00B23483">
      <w:pPr>
        <w:pStyle w:val="tabletitle"/>
        <w:tabs>
          <w:tab w:val="left" w:pos="567"/>
        </w:tabs>
        <w:spacing w:before="0" w:after="120"/>
        <w:ind w:left="0"/>
        <w:rPr>
          <w:color w:val="000000" w:themeColor="text1"/>
          <w:sz w:val="24"/>
          <w:szCs w:val="24"/>
        </w:rPr>
      </w:pPr>
      <w:r w:rsidRPr="004611D1">
        <w:rPr>
          <w:color w:val="000000" w:themeColor="text1"/>
          <w:sz w:val="24"/>
          <w:szCs w:val="24"/>
        </w:rPr>
        <w:lastRenderedPageBreak/>
        <w:t xml:space="preserve">Figure </w:t>
      </w:r>
      <w:r w:rsidRPr="004611D1">
        <w:rPr>
          <w:color w:val="000000" w:themeColor="text1"/>
          <w:sz w:val="24"/>
          <w:szCs w:val="24"/>
        </w:rPr>
        <w:fldChar w:fldCharType="begin"/>
      </w:r>
      <w:r w:rsidRPr="004611D1">
        <w:rPr>
          <w:color w:val="000000" w:themeColor="text1"/>
          <w:sz w:val="24"/>
          <w:szCs w:val="24"/>
        </w:rPr>
        <w:instrText xml:space="preserve"> SEQ Figure \* ARABIC </w:instrText>
      </w:r>
      <w:r w:rsidRPr="004611D1">
        <w:rPr>
          <w:color w:val="000000" w:themeColor="text1"/>
          <w:sz w:val="24"/>
          <w:szCs w:val="24"/>
        </w:rPr>
        <w:fldChar w:fldCharType="separate"/>
      </w:r>
      <w:r w:rsidR="00F83D5A">
        <w:rPr>
          <w:noProof/>
          <w:color w:val="000000" w:themeColor="text1"/>
          <w:sz w:val="24"/>
          <w:szCs w:val="24"/>
        </w:rPr>
        <w:t>3</w:t>
      </w:r>
      <w:r w:rsidRPr="004611D1">
        <w:rPr>
          <w:color w:val="000000" w:themeColor="text1"/>
          <w:sz w:val="24"/>
          <w:szCs w:val="24"/>
        </w:rPr>
        <w:fldChar w:fldCharType="end"/>
      </w:r>
      <w:r w:rsidRPr="004611D1">
        <w:rPr>
          <w:color w:val="000000" w:themeColor="text1"/>
          <w:sz w:val="24"/>
          <w:szCs w:val="24"/>
        </w:rPr>
        <w:t>: Age distribution of those applying through CAP showing expressed support preference by age through the three CAP service areas</w:t>
      </w:r>
      <w:r w:rsidR="009E7764">
        <w:rPr>
          <w:color w:val="000000" w:themeColor="text1"/>
          <w:sz w:val="24"/>
          <w:szCs w:val="24"/>
        </w:rPr>
        <w:t xml:space="preserve"> in 2012/13</w:t>
      </w:r>
    </w:p>
    <w:p w:rsidR="008A2F19" w:rsidRPr="00572F81" w:rsidRDefault="00572F81" w:rsidP="00F35CAA">
      <w:pPr>
        <w:pStyle w:val="tabletitle"/>
        <w:tabs>
          <w:tab w:val="left" w:pos="567"/>
        </w:tabs>
        <w:spacing w:before="0" w:after="0"/>
        <w:ind w:left="0"/>
        <w:rPr>
          <w:color w:val="000000" w:themeColor="text1"/>
          <w:sz w:val="24"/>
          <w:szCs w:val="24"/>
        </w:rPr>
      </w:pPr>
      <w:r>
        <w:rPr>
          <w:noProof/>
        </w:rPr>
        <w:drawing>
          <wp:inline distT="0" distB="0" distL="0" distR="0" wp14:anchorId="586891DD" wp14:editId="3EB0BA7B">
            <wp:extent cx="5815584" cy="2633472"/>
            <wp:effectExtent l="0" t="0" r="13970" b="1460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25524" w:rsidRPr="004611D1" w:rsidRDefault="00A25524" w:rsidP="00F35CAA">
      <w:pPr>
        <w:tabs>
          <w:tab w:val="left" w:pos="567"/>
        </w:tabs>
        <w:spacing w:line="240" w:lineRule="auto"/>
        <w:ind w:left="0"/>
        <w:rPr>
          <w:sz w:val="16"/>
          <w:szCs w:val="16"/>
        </w:rPr>
      </w:pPr>
    </w:p>
    <w:tbl>
      <w:tblPr>
        <w:tblStyle w:val="TableGrid"/>
        <w:tblW w:w="0" w:type="auto"/>
        <w:tblInd w:w="284" w:type="dxa"/>
        <w:tblLook w:val="04A0" w:firstRow="1" w:lastRow="0" w:firstColumn="1" w:lastColumn="0" w:noHBand="0" w:noVBand="1"/>
      </w:tblPr>
      <w:tblGrid>
        <w:gridCol w:w="453"/>
        <w:gridCol w:w="2882"/>
        <w:gridCol w:w="452"/>
        <w:gridCol w:w="2804"/>
        <w:gridCol w:w="452"/>
        <w:gridCol w:w="2527"/>
      </w:tblGrid>
      <w:tr w:rsidR="003D6A77" w:rsidTr="00F35CAA">
        <w:tc>
          <w:tcPr>
            <w:tcW w:w="510" w:type="dxa"/>
            <w:tcBorders>
              <w:top w:val="single" w:sz="4" w:space="0" w:color="auto"/>
              <w:bottom w:val="single" w:sz="4" w:space="0" w:color="auto"/>
            </w:tcBorders>
            <w:shd w:val="clear" w:color="auto" w:fill="365F91" w:themeFill="accent1" w:themeFillShade="BF"/>
          </w:tcPr>
          <w:p w:rsidR="003D6A77" w:rsidRDefault="003D6A77" w:rsidP="00F35CAA">
            <w:pPr>
              <w:pStyle w:val="tabletext"/>
              <w:tabs>
                <w:tab w:val="left" w:pos="567"/>
              </w:tabs>
              <w:spacing w:before="0" w:after="0"/>
              <w:ind w:left="0"/>
            </w:pPr>
          </w:p>
        </w:tc>
        <w:tc>
          <w:tcPr>
            <w:tcW w:w="3118" w:type="dxa"/>
            <w:tcBorders>
              <w:top w:val="nil"/>
              <w:bottom w:val="nil"/>
              <w:right w:val="single" w:sz="4" w:space="0" w:color="auto"/>
            </w:tcBorders>
          </w:tcPr>
          <w:p w:rsidR="00F35CAA" w:rsidRDefault="003D6A77" w:rsidP="00F35CAA">
            <w:pPr>
              <w:pStyle w:val="tabletext"/>
              <w:tabs>
                <w:tab w:val="left" w:pos="567"/>
              </w:tabs>
              <w:spacing w:before="0" w:after="0"/>
              <w:ind w:left="0"/>
            </w:pPr>
            <w:r>
              <w:t>Accommodation</w:t>
            </w:r>
          </w:p>
          <w:p w:rsidR="003D6A77" w:rsidRDefault="003D6A77" w:rsidP="00F35CAA">
            <w:pPr>
              <w:pStyle w:val="tabletext"/>
              <w:tabs>
                <w:tab w:val="left" w:pos="567"/>
              </w:tabs>
              <w:spacing w:before="0" w:after="0"/>
              <w:ind w:left="0"/>
            </w:pPr>
            <w:r>
              <w:t>Support</w:t>
            </w:r>
          </w:p>
        </w:tc>
        <w:tc>
          <w:tcPr>
            <w:tcW w:w="510" w:type="dxa"/>
            <w:tcBorders>
              <w:top w:val="single" w:sz="4" w:space="0" w:color="auto"/>
              <w:left w:val="single" w:sz="4" w:space="0" w:color="auto"/>
              <w:bottom w:val="single" w:sz="4" w:space="0" w:color="auto"/>
              <w:right w:val="single" w:sz="4" w:space="0" w:color="auto"/>
            </w:tcBorders>
            <w:shd w:val="clear" w:color="auto" w:fill="9E4F00"/>
          </w:tcPr>
          <w:p w:rsidR="003D6A77" w:rsidRDefault="003D6A77" w:rsidP="00F35CAA">
            <w:pPr>
              <w:pStyle w:val="tabletext"/>
              <w:tabs>
                <w:tab w:val="left" w:pos="567"/>
              </w:tabs>
              <w:spacing w:before="0" w:after="0"/>
              <w:ind w:left="0"/>
            </w:pPr>
          </w:p>
        </w:tc>
        <w:tc>
          <w:tcPr>
            <w:tcW w:w="3118" w:type="dxa"/>
            <w:tcBorders>
              <w:top w:val="nil"/>
              <w:left w:val="single" w:sz="4" w:space="0" w:color="auto"/>
              <w:bottom w:val="nil"/>
              <w:right w:val="single" w:sz="4" w:space="0" w:color="auto"/>
            </w:tcBorders>
          </w:tcPr>
          <w:p w:rsidR="003D6A77" w:rsidRDefault="003D6A77" w:rsidP="00F35CAA">
            <w:pPr>
              <w:pStyle w:val="tabletext"/>
              <w:tabs>
                <w:tab w:val="left" w:pos="567"/>
              </w:tabs>
              <w:spacing w:before="0" w:after="0"/>
              <w:ind w:left="0"/>
            </w:pPr>
            <w:r>
              <w:t>Alternatives to Employment</w:t>
            </w:r>
          </w:p>
        </w:tc>
        <w:tc>
          <w:tcPr>
            <w:tcW w:w="510" w:type="dxa"/>
            <w:tcBorders>
              <w:top w:val="single" w:sz="4" w:space="0" w:color="auto"/>
              <w:left w:val="single" w:sz="4" w:space="0" w:color="auto"/>
              <w:bottom w:val="single" w:sz="4" w:space="0" w:color="auto"/>
              <w:right w:val="single" w:sz="4" w:space="0" w:color="auto"/>
            </w:tcBorders>
            <w:shd w:val="clear" w:color="auto" w:fill="EBE600"/>
          </w:tcPr>
          <w:p w:rsidR="003D6A77" w:rsidRDefault="003D6A77" w:rsidP="00F35CAA">
            <w:pPr>
              <w:pStyle w:val="tabletext"/>
              <w:tabs>
                <w:tab w:val="left" w:pos="567"/>
              </w:tabs>
              <w:spacing w:before="0" w:after="0"/>
              <w:ind w:left="0"/>
            </w:pPr>
          </w:p>
        </w:tc>
        <w:tc>
          <w:tcPr>
            <w:tcW w:w="2865" w:type="dxa"/>
            <w:tcBorders>
              <w:top w:val="nil"/>
              <w:left w:val="single" w:sz="4" w:space="0" w:color="auto"/>
              <w:bottom w:val="nil"/>
              <w:right w:val="nil"/>
            </w:tcBorders>
          </w:tcPr>
          <w:p w:rsidR="00F35CAA" w:rsidRDefault="003D6A77" w:rsidP="00F35CAA">
            <w:pPr>
              <w:pStyle w:val="tabletext"/>
              <w:tabs>
                <w:tab w:val="left" w:pos="567"/>
              </w:tabs>
              <w:spacing w:before="0" w:after="0"/>
              <w:ind w:left="0"/>
            </w:pPr>
            <w:r>
              <w:t>Intensive Family</w:t>
            </w:r>
          </w:p>
          <w:p w:rsidR="003D6A77" w:rsidRDefault="003D6A77" w:rsidP="00F35CAA">
            <w:pPr>
              <w:pStyle w:val="tabletext"/>
              <w:tabs>
                <w:tab w:val="left" w:pos="567"/>
              </w:tabs>
              <w:spacing w:before="0" w:after="0"/>
              <w:ind w:left="0"/>
            </w:pPr>
            <w:r>
              <w:t>Support</w:t>
            </w:r>
          </w:p>
        </w:tc>
      </w:tr>
    </w:tbl>
    <w:p w:rsidR="004251CA" w:rsidRDefault="004251CA" w:rsidP="00F35CAA">
      <w:pPr>
        <w:widowControl/>
        <w:tabs>
          <w:tab w:val="left" w:pos="567"/>
        </w:tabs>
        <w:autoSpaceDE/>
        <w:autoSpaceDN/>
        <w:adjustRightInd/>
        <w:spacing w:line="240" w:lineRule="auto"/>
        <w:ind w:left="0" w:right="0"/>
        <w:rPr>
          <w:rStyle w:val="SubtleEmphasis"/>
        </w:rPr>
      </w:pPr>
    </w:p>
    <w:p w:rsidR="005B14A2" w:rsidRDefault="005B14A2" w:rsidP="00F35CAA">
      <w:pPr>
        <w:pStyle w:val="Heading3"/>
        <w:tabs>
          <w:tab w:val="left" w:pos="567"/>
        </w:tabs>
        <w:spacing w:after="0"/>
        <w:ind w:left="0"/>
        <w:rPr>
          <w:rStyle w:val="SubtleEmphasis"/>
          <w:color w:val="365F91" w:themeColor="accent1" w:themeShade="BF"/>
        </w:rPr>
      </w:pPr>
    </w:p>
    <w:p w:rsidR="005B14A2" w:rsidRDefault="005B14A2" w:rsidP="00F35CAA">
      <w:pPr>
        <w:pStyle w:val="Heading3"/>
        <w:tabs>
          <w:tab w:val="left" w:pos="567"/>
        </w:tabs>
        <w:spacing w:after="0"/>
        <w:ind w:left="0"/>
        <w:rPr>
          <w:rStyle w:val="SubtleEmphasis"/>
          <w:color w:val="365F91" w:themeColor="accent1" w:themeShade="BF"/>
        </w:rPr>
      </w:pPr>
    </w:p>
    <w:p w:rsidR="00015563" w:rsidRPr="00015563" w:rsidRDefault="00015563" w:rsidP="00F35CAA">
      <w:pPr>
        <w:pStyle w:val="Heading3"/>
        <w:tabs>
          <w:tab w:val="left" w:pos="567"/>
        </w:tabs>
        <w:spacing w:after="0"/>
        <w:ind w:left="0"/>
        <w:rPr>
          <w:rStyle w:val="SubtleEmphasis"/>
          <w:color w:val="365F91" w:themeColor="accent1" w:themeShade="BF"/>
        </w:rPr>
      </w:pPr>
      <w:r w:rsidRPr="00015563">
        <w:rPr>
          <w:rStyle w:val="SubtleEmphasis"/>
          <w:color w:val="365F91" w:themeColor="accent1" w:themeShade="BF"/>
        </w:rPr>
        <w:t>Further information</w:t>
      </w:r>
    </w:p>
    <w:p w:rsidR="00015563" w:rsidRDefault="00015563" w:rsidP="00F35CAA">
      <w:pPr>
        <w:tabs>
          <w:tab w:val="left" w:pos="567"/>
        </w:tabs>
        <w:spacing w:line="240" w:lineRule="auto"/>
        <w:ind w:left="0"/>
        <w:rPr>
          <w:rStyle w:val="SubtleEmphasis"/>
        </w:rPr>
      </w:pPr>
      <w:r>
        <w:rPr>
          <w:rStyle w:val="SubtleEmphasis"/>
        </w:rPr>
        <w:t>For further information please contact:</w:t>
      </w:r>
    </w:p>
    <w:p w:rsidR="00015563" w:rsidRDefault="00015563" w:rsidP="00F35CAA">
      <w:pPr>
        <w:tabs>
          <w:tab w:val="left" w:pos="567"/>
        </w:tabs>
        <w:spacing w:line="240" w:lineRule="auto"/>
        <w:ind w:left="0"/>
        <w:rPr>
          <w:rStyle w:val="SubtleEmphasis"/>
        </w:rPr>
      </w:pPr>
    </w:p>
    <w:p w:rsidR="00015563" w:rsidRDefault="00015563" w:rsidP="00F35CAA">
      <w:pPr>
        <w:tabs>
          <w:tab w:val="left" w:pos="567"/>
        </w:tabs>
        <w:spacing w:line="240" w:lineRule="auto"/>
        <w:ind w:left="0"/>
        <w:rPr>
          <w:rStyle w:val="SubtleEmphasis"/>
        </w:rPr>
      </w:pPr>
      <w:r>
        <w:rPr>
          <w:rStyle w:val="SubtleEmphasis"/>
        </w:rPr>
        <w:t>Michael Carroll</w:t>
      </w:r>
    </w:p>
    <w:p w:rsidR="00015563" w:rsidRDefault="00015563" w:rsidP="00F35CAA">
      <w:pPr>
        <w:tabs>
          <w:tab w:val="left" w:pos="567"/>
        </w:tabs>
        <w:spacing w:line="240" w:lineRule="auto"/>
        <w:ind w:left="0"/>
        <w:rPr>
          <w:rStyle w:val="SubtleEmphasis"/>
        </w:rPr>
      </w:pPr>
      <w:r>
        <w:rPr>
          <w:rStyle w:val="SubtleEmphasis"/>
        </w:rPr>
        <w:t xml:space="preserve">Manager, </w:t>
      </w:r>
      <w:r w:rsidRPr="00015563">
        <w:rPr>
          <w:rStyle w:val="SubtleEmphasis"/>
        </w:rPr>
        <w:t xml:space="preserve">Planning and Information Analysis Branch </w:t>
      </w:r>
      <w:r w:rsidRPr="00015563">
        <w:rPr>
          <w:rStyle w:val="SubtleEmphasis"/>
        </w:rPr>
        <w:br/>
        <w:t xml:space="preserve">Policy and Strategy Directorate </w:t>
      </w:r>
      <w:r w:rsidRPr="00015563">
        <w:rPr>
          <w:rStyle w:val="SubtleEmphasis"/>
        </w:rPr>
        <w:br/>
        <w:t>Disability Services Commission</w:t>
      </w:r>
    </w:p>
    <w:p w:rsidR="00015563" w:rsidRDefault="00015563" w:rsidP="00F35CAA">
      <w:pPr>
        <w:tabs>
          <w:tab w:val="left" w:pos="567"/>
        </w:tabs>
        <w:spacing w:line="240" w:lineRule="auto"/>
        <w:ind w:left="0"/>
        <w:rPr>
          <w:rStyle w:val="SubtleEmphasis"/>
        </w:rPr>
      </w:pPr>
      <w:r>
        <w:rPr>
          <w:rStyle w:val="SubtleEmphasis"/>
        </w:rPr>
        <w:t>Phone: 9426 9776</w:t>
      </w:r>
    </w:p>
    <w:p w:rsidR="00015563" w:rsidRDefault="00015563" w:rsidP="00F35CAA">
      <w:pPr>
        <w:tabs>
          <w:tab w:val="left" w:pos="567"/>
        </w:tabs>
        <w:spacing w:line="240" w:lineRule="auto"/>
        <w:ind w:left="0"/>
        <w:rPr>
          <w:rStyle w:val="Hyperlink"/>
          <w:szCs w:val="28"/>
        </w:rPr>
      </w:pPr>
      <w:r>
        <w:rPr>
          <w:rStyle w:val="SubtleEmphasis"/>
        </w:rPr>
        <w:t xml:space="preserve">Email: </w:t>
      </w:r>
      <w:hyperlink r:id="rId12" w:history="1">
        <w:r w:rsidRPr="003D25FC">
          <w:rPr>
            <w:rStyle w:val="Hyperlink"/>
            <w:szCs w:val="28"/>
          </w:rPr>
          <w:t>michael.carroll@dsc.wa.gov.au</w:t>
        </w:r>
      </w:hyperlink>
    </w:p>
    <w:p w:rsidR="00F35CAA" w:rsidRPr="00F35CAA" w:rsidRDefault="00F35CAA" w:rsidP="00F35CAA">
      <w:pPr>
        <w:tabs>
          <w:tab w:val="left" w:pos="567"/>
        </w:tabs>
        <w:spacing w:line="240" w:lineRule="auto"/>
        <w:ind w:left="0"/>
        <w:rPr>
          <w:rStyle w:val="Hyperlink"/>
          <w:color w:val="auto"/>
          <w:szCs w:val="28"/>
          <w:u w:val="none"/>
        </w:rPr>
      </w:pPr>
    </w:p>
    <w:p w:rsidR="00F35CAA" w:rsidRPr="00F35CAA" w:rsidRDefault="00F35CAA" w:rsidP="00F35CAA">
      <w:pPr>
        <w:tabs>
          <w:tab w:val="left" w:pos="567"/>
        </w:tabs>
        <w:spacing w:line="240" w:lineRule="auto"/>
        <w:ind w:left="0"/>
        <w:rPr>
          <w:rStyle w:val="Hyperlink"/>
          <w:color w:val="auto"/>
          <w:szCs w:val="28"/>
          <w:u w:val="none"/>
        </w:rPr>
      </w:pPr>
    </w:p>
    <w:p w:rsidR="00F35CAA" w:rsidRDefault="00F35CAA" w:rsidP="00F35CAA">
      <w:pPr>
        <w:tabs>
          <w:tab w:val="left" w:pos="567"/>
        </w:tabs>
        <w:spacing w:line="240" w:lineRule="auto"/>
        <w:ind w:left="0"/>
        <w:rPr>
          <w:rStyle w:val="Hyperlink"/>
          <w:color w:val="auto"/>
          <w:szCs w:val="28"/>
          <w:u w:val="none"/>
        </w:rPr>
      </w:pPr>
    </w:p>
    <w:p w:rsidR="009F4840" w:rsidRDefault="009F4840" w:rsidP="00F35CAA">
      <w:pPr>
        <w:tabs>
          <w:tab w:val="left" w:pos="567"/>
        </w:tabs>
        <w:spacing w:line="240" w:lineRule="auto"/>
        <w:ind w:left="0"/>
        <w:rPr>
          <w:rStyle w:val="Hyperlink"/>
          <w:color w:val="auto"/>
          <w:szCs w:val="28"/>
          <w:u w:val="none"/>
        </w:rPr>
      </w:pPr>
    </w:p>
    <w:p w:rsidR="009F4840" w:rsidRDefault="009F4840" w:rsidP="00F35CAA">
      <w:pPr>
        <w:tabs>
          <w:tab w:val="left" w:pos="567"/>
        </w:tabs>
        <w:spacing w:line="240" w:lineRule="auto"/>
        <w:ind w:left="0"/>
        <w:rPr>
          <w:rStyle w:val="Hyperlink"/>
          <w:color w:val="auto"/>
          <w:szCs w:val="28"/>
          <w:u w:val="none"/>
        </w:rPr>
      </w:pPr>
    </w:p>
    <w:p w:rsidR="009F4840" w:rsidRDefault="009F4840" w:rsidP="00F35CAA">
      <w:pPr>
        <w:tabs>
          <w:tab w:val="left" w:pos="567"/>
        </w:tabs>
        <w:spacing w:line="240" w:lineRule="auto"/>
        <w:ind w:left="0"/>
        <w:rPr>
          <w:rStyle w:val="Hyperlink"/>
          <w:color w:val="auto"/>
          <w:szCs w:val="28"/>
          <w:u w:val="none"/>
        </w:rPr>
      </w:pPr>
    </w:p>
    <w:p w:rsidR="009F4840" w:rsidRDefault="009F4840" w:rsidP="00F35CAA">
      <w:pPr>
        <w:tabs>
          <w:tab w:val="left" w:pos="567"/>
        </w:tabs>
        <w:spacing w:line="240" w:lineRule="auto"/>
        <w:ind w:left="0"/>
        <w:rPr>
          <w:rStyle w:val="Hyperlink"/>
          <w:color w:val="auto"/>
          <w:szCs w:val="28"/>
          <w:u w:val="none"/>
        </w:rPr>
      </w:pPr>
    </w:p>
    <w:p w:rsidR="009F4840" w:rsidRDefault="009F4840" w:rsidP="00F35CAA">
      <w:pPr>
        <w:tabs>
          <w:tab w:val="left" w:pos="567"/>
        </w:tabs>
        <w:spacing w:line="240" w:lineRule="auto"/>
        <w:ind w:left="0"/>
        <w:rPr>
          <w:rStyle w:val="Hyperlink"/>
          <w:color w:val="auto"/>
          <w:szCs w:val="28"/>
          <w:u w:val="none"/>
        </w:rPr>
      </w:pPr>
    </w:p>
    <w:p w:rsidR="009F4840" w:rsidRDefault="009F4840" w:rsidP="00F35CAA">
      <w:pPr>
        <w:tabs>
          <w:tab w:val="left" w:pos="567"/>
        </w:tabs>
        <w:spacing w:line="240" w:lineRule="auto"/>
        <w:ind w:left="0"/>
        <w:rPr>
          <w:rStyle w:val="Hyperlink"/>
          <w:color w:val="auto"/>
          <w:szCs w:val="28"/>
          <w:u w:val="none"/>
        </w:rPr>
      </w:pPr>
    </w:p>
    <w:p w:rsidR="009F4840" w:rsidRDefault="009F4840" w:rsidP="00F35CAA">
      <w:pPr>
        <w:tabs>
          <w:tab w:val="left" w:pos="567"/>
        </w:tabs>
        <w:spacing w:line="240" w:lineRule="auto"/>
        <w:ind w:left="0"/>
        <w:rPr>
          <w:rStyle w:val="Hyperlink"/>
          <w:color w:val="auto"/>
          <w:szCs w:val="28"/>
          <w:u w:val="none"/>
        </w:rPr>
      </w:pPr>
    </w:p>
    <w:p w:rsidR="009F4840" w:rsidRPr="00F35CAA" w:rsidRDefault="009F4840" w:rsidP="00F35CAA">
      <w:pPr>
        <w:tabs>
          <w:tab w:val="left" w:pos="567"/>
        </w:tabs>
        <w:spacing w:line="240" w:lineRule="auto"/>
        <w:ind w:left="0"/>
        <w:rPr>
          <w:rStyle w:val="Hyperlink"/>
          <w:color w:val="auto"/>
          <w:szCs w:val="28"/>
          <w:u w:val="none"/>
        </w:rPr>
      </w:pPr>
    </w:p>
    <w:p w:rsidR="00F35CAA" w:rsidRPr="00F35CAA" w:rsidRDefault="00F35CAA" w:rsidP="00F35CAA">
      <w:pPr>
        <w:tabs>
          <w:tab w:val="left" w:pos="567"/>
        </w:tabs>
        <w:spacing w:line="240" w:lineRule="auto"/>
        <w:ind w:left="0"/>
        <w:rPr>
          <w:rStyle w:val="Hyperlink"/>
          <w:color w:val="auto"/>
          <w:szCs w:val="28"/>
          <w:u w:val="none"/>
        </w:rPr>
      </w:pPr>
    </w:p>
    <w:p w:rsidR="00F35CAA" w:rsidRPr="00F35CAA" w:rsidRDefault="00F35CAA" w:rsidP="00F35CAA">
      <w:pPr>
        <w:tabs>
          <w:tab w:val="left" w:pos="567"/>
        </w:tabs>
        <w:spacing w:line="240" w:lineRule="auto"/>
        <w:ind w:left="0"/>
        <w:rPr>
          <w:rStyle w:val="Hyperlink"/>
          <w:color w:val="auto"/>
          <w:szCs w:val="28"/>
          <w:u w:val="none"/>
        </w:rPr>
      </w:pPr>
    </w:p>
    <w:p w:rsidR="00F35CAA" w:rsidRPr="00F35CAA" w:rsidRDefault="00F35CAA" w:rsidP="00F35CAA">
      <w:pPr>
        <w:tabs>
          <w:tab w:val="left" w:pos="567"/>
        </w:tabs>
        <w:spacing w:line="240" w:lineRule="auto"/>
        <w:ind w:left="0"/>
        <w:rPr>
          <w:rStyle w:val="SubtleEmphasis"/>
          <w:color w:val="auto"/>
          <w:sz w:val="18"/>
        </w:rPr>
      </w:pPr>
    </w:p>
    <w:sectPr w:rsidR="00F35CAA" w:rsidRPr="00F35CAA" w:rsidSect="00B23483">
      <w:headerReference w:type="default" r:id="rId13"/>
      <w:footerReference w:type="default" r:id="rId14"/>
      <w:headerReference w:type="first" r:id="rId15"/>
      <w:footerReference w:type="first" r:id="rId16"/>
      <w:pgSz w:w="11906" w:h="16838" w:code="9"/>
      <w:pgMar w:top="1418" w:right="1134" w:bottom="1418" w:left="1134"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2B4" w:rsidRDefault="001752B4" w:rsidP="0038115F">
      <w:r>
        <w:separator/>
      </w:r>
    </w:p>
  </w:endnote>
  <w:endnote w:type="continuationSeparator" w:id="0">
    <w:p w:rsidR="001752B4" w:rsidRDefault="001752B4" w:rsidP="00381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0492710"/>
      <w:docPartObj>
        <w:docPartGallery w:val="Page Numbers (Bottom of Page)"/>
        <w:docPartUnique/>
      </w:docPartObj>
    </w:sdtPr>
    <w:sdtEndPr>
      <w:rPr>
        <w:noProof/>
      </w:rPr>
    </w:sdtEndPr>
    <w:sdtContent>
      <w:p w:rsidR="00E5675F" w:rsidRPr="00750B57" w:rsidRDefault="002A7681" w:rsidP="009F4840">
        <w:pPr>
          <w:pStyle w:val="Footer"/>
          <w:tabs>
            <w:tab w:val="clear" w:pos="9026"/>
            <w:tab w:val="right" w:pos="9639"/>
          </w:tabs>
          <w:ind w:left="0" w:right="-1"/>
          <w:jc w:val="right"/>
        </w:pPr>
        <w:r>
          <w:fldChar w:fldCharType="begin"/>
        </w:r>
        <w:r>
          <w:instrText xml:space="preserve"> PAGE   \* MERGEFORMAT </w:instrText>
        </w:r>
        <w:r>
          <w:fldChar w:fldCharType="separate"/>
        </w:r>
        <w:r w:rsidR="00F83D5A">
          <w:rPr>
            <w:noProof/>
          </w:rPr>
          <w:t>5</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7782911"/>
      <w:docPartObj>
        <w:docPartGallery w:val="Page Numbers (Bottom of Page)"/>
        <w:docPartUnique/>
      </w:docPartObj>
    </w:sdtPr>
    <w:sdtEndPr>
      <w:rPr>
        <w:noProof/>
      </w:rPr>
    </w:sdtEndPr>
    <w:sdtContent>
      <w:p w:rsidR="002A7681" w:rsidRDefault="002A7681" w:rsidP="00B23483">
        <w:pPr>
          <w:pStyle w:val="Footer"/>
          <w:jc w:val="right"/>
        </w:pPr>
        <w:r>
          <w:fldChar w:fldCharType="begin"/>
        </w:r>
        <w:r>
          <w:instrText xml:space="preserve"> PAGE   \* MERGEFORMAT </w:instrText>
        </w:r>
        <w:r>
          <w:fldChar w:fldCharType="separate"/>
        </w:r>
        <w:r w:rsidR="00F83D5A">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2B4" w:rsidRDefault="001752B4" w:rsidP="0038115F">
      <w:r>
        <w:separator/>
      </w:r>
    </w:p>
  </w:footnote>
  <w:footnote w:type="continuationSeparator" w:id="0">
    <w:p w:rsidR="001752B4" w:rsidRDefault="001752B4" w:rsidP="003811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483" w:rsidRDefault="00B23483" w:rsidP="00B23483">
    <w:pPr>
      <w:pStyle w:val="Header"/>
      <w:ind w:left="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1CA" w:rsidRDefault="00B23483" w:rsidP="007909C3">
    <w:pPr>
      <w:pStyle w:val="Header"/>
      <w:spacing w:before="240"/>
      <w:ind w:left="0"/>
    </w:pPr>
    <w:r>
      <w:rPr>
        <w:noProof/>
      </w:rPr>
      <mc:AlternateContent>
        <mc:Choice Requires="wps">
          <w:drawing>
            <wp:anchor distT="0" distB="0" distL="114300" distR="114300" simplePos="0" relativeHeight="251659264" behindDoc="0" locked="0" layoutInCell="1" allowOverlap="1" wp14:anchorId="60AE1BE0" wp14:editId="12703DF7">
              <wp:simplePos x="0" y="0"/>
              <wp:positionH relativeFrom="column">
                <wp:posOffset>1928013</wp:posOffset>
              </wp:positionH>
              <wp:positionV relativeFrom="paragraph">
                <wp:posOffset>93497</wp:posOffset>
              </wp:positionV>
              <wp:extent cx="4557370" cy="708025"/>
              <wp:effectExtent l="0" t="0" r="0" b="0"/>
              <wp:wrapNone/>
              <wp:docPr id="2" name="Text Box 2"/>
              <wp:cNvGraphicFramePr/>
              <a:graphic xmlns:a="http://schemas.openxmlformats.org/drawingml/2006/main">
                <a:graphicData uri="http://schemas.microsoft.com/office/word/2010/wordprocessingShape">
                  <wps:wsp>
                    <wps:cNvSpPr txBox="1"/>
                    <wps:spPr>
                      <a:xfrm>
                        <a:off x="0" y="0"/>
                        <a:ext cx="4557370" cy="708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D2E57" w:rsidRPr="00B23483" w:rsidRDefault="008D2E57" w:rsidP="008D2E57">
                          <w:pPr>
                            <w:pStyle w:val="Heading1"/>
                            <w:spacing w:after="120"/>
                            <w:ind w:left="142"/>
                            <w:rPr>
                              <w:sz w:val="40"/>
                              <w:szCs w:val="40"/>
                            </w:rPr>
                          </w:pPr>
                          <w:r w:rsidRPr="00B23483">
                            <w:rPr>
                              <w:b w:val="0"/>
                              <w:sz w:val="40"/>
                              <w:szCs w:val="40"/>
                            </w:rPr>
                            <w:t>Disability Support Funding</w:t>
                          </w:r>
                          <w:r w:rsidRPr="00B23483">
                            <w:rPr>
                              <w:sz w:val="40"/>
                              <w:szCs w:val="40"/>
                            </w:rPr>
                            <w:t xml:space="preserve"> Bulletin</w:t>
                          </w:r>
                        </w:p>
                        <w:p w:rsidR="008D2E57" w:rsidRPr="008D2E57" w:rsidRDefault="008D2E57" w:rsidP="008D2E57">
                          <w:pPr>
                            <w:pStyle w:val="Heading3"/>
                            <w:ind w:left="142"/>
                          </w:pPr>
                          <w:r>
                            <w:t>Issue 2 – September 2013</w:t>
                          </w:r>
                        </w:p>
                        <w:p w:rsidR="008D2E57" w:rsidRDefault="008D2E57">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51.8pt;margin-top:7.35pt;width:358.85pt;height:5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" filled="f" stroked="f" strokeweight=".5pt">
              <v:textbox>
                <w:txbxContent>
                  <w:p w:rsidR="008D2E57" w:rsidRPr="00B23483" w:rsidRDefault="008D2E57" w:rsidP="008D2E57">
                    <w:pPr>
                      <w:pStyle w:val="Heading1"/>
                      <w:spacing w:after="120"/>
                      <w:ind w:left="142"/>
                      <w:rPr>
                        <w:sz w:val="40"/>
                        <w:szCs w:val="40"/>
                      </w:rPr>
                    </w:pPr>
                    <w:r w:rsidRPr="00B23483">
                      <w:rPr>
                        <w:b w:val="0"/>
                        <w:sz w:val="40"/>
                        <w:szCs w:val="40"/>
                      </w:rPr>
                      <w:t>Disability Support Funding</w:t>
                    </w:r>
                    <w:r w:rsidRPr="00B23483">
                      <w:rPr>
                        <w:sz w:val="40"/>
                        <w:szCs w:val="40"/>
                      </w:rPr>
                      <w:t xml:space="preserve"> Bulletin</w:t>
                    </w:r>
                  </w:p>
                  <w:p w:rsidR="008D2E57" w:rsidRPr="008D2E57" w:rsidRDefault="008D2E57" w:rsidP="008D2E57">
                    <w:pPr>
                      <w:pStyle w:val="Heading3"/>
                      <w:ind w:left="142"/>
                    </w:pPr>
                    <w:r>
                      <w:t>Issue 2 – September 2013</w:t>
                    </w:r>
                  </w:p>
                  <w:p w:rsidR="008D2E57" w:rsidRDefault="008D2E57">
                    <w:pPr>
                      <w:ind w:left="0"/>
                    </w:pPr>
                  </w:p>
                </w:txbxContent>
              </v:textbox>
            </v:shape>
          </w:pict>
        </mc:Fallback>
      </mc:AlternateContent>
    </w:r>
    <w:r w:rsidR="007909C3">
      <w:rPr>
        <w:noProof/>
      </w:rPr>
      <mc:AlternateContent>
        <mc:Choice Requires="wps">
          <w:drawing>
            <wp:anchor distT="0" distB="0" distL="114300" distR="114300" simplePos="0" relativeHeight="251658240" behindDoc="0" locked="0" layoutInCell="1" allowOverlap="1" wp14:anchorId="7705DB2F" wp14:editId="36B68B97">
              <wp:simplePos x="0" y="0"/>
              <wp:positionH relativeFrom="column">
                <wp:posOffset>7631430</wp:posOffset>
              </wp:positionH>
              <wp:positionV relativeFrom="paragraph">
                <wp:posOffset>42545</wp:posOffset>
              </wp:positionV>
              <wp:extent cx="7745095" cy="473710"/>
              <wp:effectExtent l="0" t="0" r="8255" b="254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5095" cy="4737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72D5" w:rsidRDefault="00C972D5" w:rsidP="0038115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600.9pt;margin-top:3.35pt;width:609.85pt;height:37.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" stroked="f">
              <v:textbox>
                <w:txbxContent>
                  <w:p w:rsidR="00C972D5" w:rsidRDefault="00C972D5" w:rsidP="0038115F"/>
                </w:txbxContent>
              </v:textbox>
            </v:shape>
          </w:pict>
        </mc:Fallback>
      </mc:AlternateContent>
    </w:r>
    <w:r w:rsidR="002E5D01" w:rsidRPr="002E5D01">
      <w:rPr>
        <w:noProof/>
      </w:rPr>
      <w:drawing>
        <wp:inline distT="0" distB="0" distL="0" distR="0" wp14:anchorId="141600E4" wp14:editId="2B2CE6EC">
          <wp:extent cx="6269127" cy="732648"/>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owerpoint.jpg"/>
                  <pic:cNvPicPr/>
                </pic:nvPicPr>
                <pic:blipFill>
                  <a:blip r:embed="rId1">
                    <a:extLst>
                      <a:ext uri="{28A0092B-C50C-407E-A947-70E740481C1C}">
                        <a14:useLocalDpi xmlns:a14="http://schemas.microsoft.com/office/drawing/2010/main" val="0"/>
                      </a:ext>
                    </a:extLst>
                  </a:blip>
                  <a:stretch>
                    <a:fillRect/>
                  </a:stretch>
                </pic:blipFill>
                <pic:spPr>
                  <a:xfrm>
                    <a:off x="0" y="0"/>
                    <a:ext cx="6269072" cy="73264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95C08"/>
    <w:multiLevelType w:val="hybridMultilevel"/>
    <w:tmpl w:val="F75AC1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AB725FC"/>
    <w:multiLevelType w:val="hybridMultilevel"/>
    <w:tmpl w:val="6BCAA976"/>
    <w:lvl w:ilvl="0" w:tplc="C2863330">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26A94BBF"/>
    <w:multiLevelType w:val="hybridMultilevel"/>
    <w:tmpl w:val="4FB64FE2"/>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3">
    <w:nsid w:val="327B533B"/>
    <w:multiLevelType w:val="hybridMultilevel"/>
    <w:tmpl w:val="7EC23B46"/>
    <w:lvl w:ilvl="0" w:tplc="0C09000F">
      <w:start w:val="1"/>
      <w:numFmt w:val="decimal"/>
      <w:lvlText w:val="%1."/>
      <w:lvlJc w:val="left"/>
      <w:pPr>
        <w:ind w:left="1634" w:hanging="360"/>
      </w:pPr>
    </w:lvl>
    <w:lvl w:ilvl="1" w:tplc="0C090019" w:tentative="1">
      <w:start w:val="1"/>
      <w:numFmt w:val="lowerLetter"/>
      <w:lvlText w:val="%2."/>
      <w:lvlJc w:val="left"/>
      <w:pPr>
        <w:ind w:left="2354" w:hanging="360"/>
      </w:pPr>
    </w:lvl>
    <w:lvl w:ilvl="2" w:tplc="0C09001B" w:tentative="1">
      <w:start w:val="1"/>
      <w:numFmt w:val="lowerRoman"/>
      <w:lvlText w:val="%3."/>
      <w:lvlJc w:val="right"/>
      <w:pPr>
        <w:ind w:left="3074" w:hanging="180"/>
      </w:pPr>
    </w:lvl>
    <w:lvl w:ilvl="3" w:tplc="0C09000F" w:tentative="1">
      <w:start w:val="1"/>
      <w:numFmt w:val="decimal"/>
      <w:lvlText w:val="%4."/>
      <w:lvlJc w:val="left"/>
      <w:pPr>
        <w:ind w:left="3794" w:hanging="360"/>
      </w:pPr>
    </w:lvl>
    <w:lvl w:ilvl="4" w:tplc="0C090019" w:tentative="1">
      <w:start w:val="1"/>
      <w:numFmt w:val="lowerLetter"/>
      <w:lvlText w:val="%5."/>
      <w:lvlJc w:val="left"/>
      <w:pPr>
        <w:ind w:left="4514" w:hanging="360"/>
      </w:pPr>
    </w:lvl>
    <w:lvl w:ilvl="5" w:tplc="0C09001B" w:tentative="1">
      <w:start w:val="1"/>
      <w:numFmt w:val="lowerRoman"/>
      <w:lvlText w:val="%6."/>
      <w:lvlJc w:val="right"/>
      <w:pPr>
        <w:ind w:left="5234" w:hanging="180"/>
      </w:pPr>
    </w:lvl>
    <w:lvl w:ilvl="6" w:tplc="0C09000F" w:tentative="1">
      <w:start w:val="1"/>
      <w:numFmt w:val="decimal"/>
      <w:lvlText w:val="%7."/>
      <w:lvlJc w:val="left"/>
      <w:pPr>
        <w:ind w:left="5954" w:hanging="360"/>
      </w:pPr>
    </w:lvl>
    <w:lvl w:ilvl="7" w:tplc="0C090019" w:tentative="1">
      <w:start w:val="1"/>
      <w:numFmt w:val="lowerLetter"/>
      <w:lvlText w:val="%8."/>
      <w:lvlJc w:val="left"/>
      <w:pPr>
        <w:ind w:left="6674" w:hanging="360"/>
      </w:pPr>
    </w:lvl>
    <w:lvl w:ilvl="8" w:tplc="0C09001B" w:tentative="1">
      <w:start w:val="1"/>
      <w:numFmt w:val="lowerRoman"/>
      <w:lvlText w:val="%9."/>
      <w:lvlJc w:val="right"/>
      <w:pPr>
        <w:ind w:left="7394" w:hanging="180"/>
      </w:pPr>
    </w:lvl>
  </w:abstractNum>
  <w:abstractNum w:abstractNumId="4">
    <w:nsid w:val="455F211D"/>
    <w:multiLevelType w:val="hybridMultilevel"/>
    <w:tmpl w:val="5AF60166"/>
    <w:lvl w:ilvl="0" w:tplc="5B6C8FF6">
      <w:start w:val="1"/>
      <w:numFmt w:val="bullet"/>
      <w:pStyle w:val="1Bulletedfirstlevel"/>
      <w:lvlText w:val=""/>
      <w:lvlJc w:val="left"/>
      <w:pPr>
        <w:ind w:left="1211" w:hanging="360"/>
      </w:pPr>
      <w:rPr>
        <w:rFonts w:ascii="Symbol" w:hAnsi="Symbol" w:hint="default"/>
      </w:rPr>
    </w:lvl>
    <w:lvl w:ilvl="1" w:tplc="189EB458">
      <w:start w:val="1"/>
      <w:numFmt w:val="bullet"/>
      <w:pStyle w:val="3oBulletedthirdlevel"/>
      <w:lvlText w:val="o"/>
      <w:lvlJc w:val="left"/>
      <w:pPr>
        <w:ind w:left="1931" w:hanging="360"/>
      </w:pPr>
      <w:rPr>
        <w:rFonts w:ascii="Courier New" w:hAnsi="Courier New" w:cs="Times New Roman" w:hint="default"/>
      </w:rPr>
    </w:lvl>
    <w:lvl w:ilvl="2" w:tplc="04090005">
      <w:start w:val="1"/>
      <w:numFmt w:val="bullet"/>
      <w:lvlText w:val=""/>
      <w:lvlJc w:val="left"/>
      <w:pPr>
        <w:ind w:left="2651" w:hanging="360"/>
      </w:pPr>
      <w:rPr>
        <w:rFonts w:ascii="Wingdings" w:hAnsi="Wingdings" w:hint="default"/>
      </w:rPr>
    </w:lvl>
    <w:lvl w:ilvl="3" w:tplc="04090001">
      <w:start w:val="1"/>
      <w:numFmt w:val="bullet"/>
      <w:lvlText w:val=""/>
      <w:lvlJc w:val="left"/>
      <w:pPr>
        <w:ind w:left="3371" w:hanging="360"/>
      </w:pPr>
      <w:rPr>
        <w:rFonts w:ascii="Symbol" w:hAnsi="Symbol" w:hint="default"/>
      </w:rPr>
    </w:lvl>
    <w:lvl w:ilvl="4" w:tplc="04090003">
      <w:start w:val="1"/>
      <w:numFmt w:val="bullet"/>
      <w:lvlText w:val="o"/>
      <w:lvlJc w:val="left"/>
      <w:pPr>
        <w:ind w:left="4091" w:hanging="360"/>
      </w:pPr>
      <w:rPr>
        <w:rFonts w:ascii="Courier New" w:hAnsi="Courier New" w:cs="Times New Roman" w:hint="default"/>
      </w:rPr>
    </w:lvl>
    <w:lvl w:ilvl="5" w:tplc="04090005">
      <w:start w:val="1"/>
      <w:numFmt w:val="bullet"/>
      <w:lvlText w:val=""/>
      <w:lvlJc w:val="left"/>
      <w:pPr>
        <w:ind w:left="4811" w:hanging="360"/>
      </w:pPr>
      <w:rPr>
        <w:rFonts w:ascii="Wingdings" w:hAnsi="Wingdings" w:hint="default"/>
      </w:rPr>
    </w:lvl>
    <w:lvl w:ilvl="6" w:tplc="04090001">
      <w:start w:val="1"/>
      <w:numFmt w:val="bullet"/>
      <w:lvlText w:val=""/>
      <w:lvlJc w:val="left"/>
      <w:pPr>
        <w:ind w:left="5531" w:hanging="360"/>
      </w:pPr>
      <w:rPr>
        <w:rFonts w:ascii="Symbol" w:hAnsi="Symbol" w:hint="default"/>
      </w:rPr>
    </w:lvl>
    <w:lvl w:ilvl="7" w:tplc="04090003">
      <w:start w:val="1"/>
      <w:numFmt w:val="bullet"/>
      <w:lvlText w:val="o"/>
      <w:lvlJc w:val="left"/>
      <w:pPr>
        <w:ind w:left="6251" w:hanging="360"/>
      </w:pPr>
      <w:rPr>
        <w:rFonts w:ascii="Courier New" w:hAnsi="Courier New" w:cs="Times New Roman" w:hint="default"/>
      </w:rPr>
    </w:lvl>
    <w:lvl w:ilvl="8" w:tplc="04090005">
      <w:start w:val="1"/>
      <w:numFmt w:val="bullet"/>
      <w:lvlText w:val=""/>
      <w:lvlJc w:val="left"/>
      <w:pPr>
        <w:ind w:left="6971" w:hanging="360"/>
      </w:pPr>
      <w:rPr>
        <w:rFonts w:ascii="Wingdings" w:hAnsi="Wingdings" w:hint="default"/>
      </w:rPr>
    </w:lvl>
  </w:abstractNum>
  <w:abstractNum w:abstractNumId="5">
    <w:nsid w:val="55B70A9C"/>
    <w:multiLevelType w:val="hybridMultilevel"/>
    <w:tmpl w:val="49302D68"/>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6">
    <w:nsid w:val="5EBD4595"/>
    <w:multiLevelType w:val="hybridMultilevel"/>
    <w:tmpl w:val="40067142"/>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7">
    <w:nsid w:val="62EA031D"/>
    <w:multiLevelType w:val="hybridMultilevel"/>
    <w:tmpl w:val="E040A63A"/>
    <w:lvl w:ilvl="0" w:tplc="0C09000F">
      <w:start w:val="1"/>
      <w:numFmt w:val="decimal"/>
      <w:lvlText w:val="%1."/>
      <w:lvlJc w:val="left"/>
      <w:pPr>
        <w:ind w:left="491" w:hanging="360"/>
      </w:pPr>
    </w:lvl>
    <w:lvl w:ilvl="1" w:tplc="0C09000F">
      <w:start w:val="1"/>
      <w:numFmt w:val="decimal"/>
      <w:lvlText w:val="%2."/>
      <w:lvlJc w:val="left"/>
      <w:pPr>
        <w:ind w:left="1211" w:hanging="360"/>
      </w:pPr>
    </w:lvl>
    <w:lvl w:ilvl="2" w:tplc="0C09001B" w:tentative="1">
      <w:start w:val="1"/>
      <w:numFmt w:val="lowerRoman"/>
      <w:lvlText w:val="%3."/>
      <w:lvlJc w:val="right"/>
      <w:pPr>
        <w:ind w:left="1931" w:hanging="180"/>
      </w:pPr>
    </w:lvl>
    <w:lvl w:ilvl="3" w:tplc="0C09000F" w:tentative="1">
      <w:start w:val="1"/>
      <w:numFmt w:val="decimal"/>
      <w:lvlText w:val="%4."/>
      <w:lvlJc w:val="left"/>
      <w:pPr>
        <w:ind w:left="2651" w:hanging="360"/>
      </w:pPr>
    </w:lvl>
    <w:lvl w:ilvl="4" w:tplc="0C090019" w:tentative="1">
      <w:start w:val="1"/>
      <w:numFmt w:val="lowerLetter"/>
      <w:lvlText w:val="%5."/>
      <w:lvlJc w:val="left"/>
      <w:pPr>
        <w:ind w:left="3371" w:hanging="360"/>
      </w:pPr>
    </w:lvl>
    <w:lvl w:ilvl="5" w:tplc="0C09001B" w:tentative="1">
      <w:start w:val="1"/>
      <w:numFmt w:val="lowerRoman"/>
      <w:lvlText w:val="%6."/>
      <w:lvlJc w:val="right"/>
      <w:pPr>
        <w:ind w:left="4091" w:hanging="180"/>
      </w:pPr>
    </w:lvl>
    <w:lvl w:ilvl="6" w:tplc="0C09000F" w:tentative="1">
      <w:start w:val="1"/>
      <w:numFmt w:val="decimal"/>
      <w:lvlText w:val="%7."/>
      <w:lvlJc w:val="left"/>
      <w:pPr>
        <w:ind w:left="4811" w:hanging="360"/>
      </w:pPr>
    </w:lvl>
    <w:lvl w:ilvl="7" w:tplc="0C090019" w:tentative="1">
      <w:start w:val="1"/>
      <w:numFmt w:val="lowerLetter"/>
      <w:lvlText w:val="%8."/>
      <w:lvlJc w:val="left"/>
      <w:pPr>
        <w:ind w:left="5531" w:hanging="360"/>
      </w:pPr>
    </w:lvl>
    <w:lvl w:ilvl="8" w:tplc="0C09001B" w:tentative="1">
      <w:start w:val="1"/>
      <w:numFmt w:val="lowerRoman"/>
      <w:lvlText w:val="%9."/>
      <w:lvlJc w:val="right"/>
      <w:pPr>
        <w:ind w:left="6251" w:hanging="180"/>
      </w:pPr>
    </w:lvl>
  </w:abstractNum>
  <w:abstractNum w:abstractNumId="8">
    <w:nsid w:val="72FD1A20"/>
    <w:multiLevelType w:val="hybridMultilevel"/>
    <w:tmpl w:val="0B6C6B24"/>
    <w:lvl w:ilvl="0" w:tplc="0C090001">
      <w:start w:val="1"/>
      <w:numFmt w:val="bullet"/>
      <w:lvlText w:val=""/>
      <w:lvlJc w:val="left"/>
      <w:pPr>
        <w:ind w:left="1634" w:hanging="360"/>
      </w:pPr>
      <w:rPr>
        <w:rFonts w:ascii="Symbol" w:hAnsi="Symbol" w:hint="default"/>
      </w:rPr>
    </w:lvl>
    <w:lvl w:ilvl="1" w:tplc="0C090003" w:tentative="1">
      <w:start w:val="1"/>
      <w:numFmt w:val="bullet"/>
      <w:lvlText w:val="o"/>
      <w:lvlJc w:val="left"/>
      <w:pPr>
        <w:ind w:left="2354" w:hanging="360"/>
      </w:pPr>
      <w:rPr>
        <w:rFonts w:ascii="Courier New" w:hAnsi="Courier New" w:cs="Courier New" w:hint="default"/>
      </w:rPr>
    </w:lvl>
    <w:lvl w:ilvl="2" w:tplc="0C090005" w:tentative="1">
      <w:start w:val="1"/>
      <w:numFmt w:val="bullet"/>
      <w:lvlText w:val=""/>
      <w:lvlJc w:val="left"/>
      <w:pPr>
        <w:ind w:left="3074" w:hanging="360"/>
      </w:pPr>
      <w:rPr>
        <w:rFonts w:ascii="Wingdings" w:hAnsi="Wingdings" w:hint="default"/>
      </w:rPr>
    </w:lvl>
    <w:lvl w:ilvl="3" w:tplc="0C090001" w:tentative="1">
      <w:start w:val="1"/>
      <w:numFmt w:val="bullet"/>
      <w:lvlText w:val=""/>
      <w:lvlJc w:val="left"/>
      <w:pPr>
        <w:ind w:left="3794" w:hanging="360"/>
      </w:pPr>
      <w:rPr>
        <w:rFonts w:ascii="Symbol" w:hAnsi="Symbol" w:hint="default"/>
      </w:rPr>
    </w:lvl>
    <w:lvl w:ilvl="4" w:tplc="0C090003" w:tentative="1">
      <w:start w:val="1"/>
      <w:numFmt w:val="bullet"/>
      <w:lvlText w:val="o"/>
      <w:lvlJc w:val="left"/>
      <w:pPr>
        <w:ind w:left="4514" w:hanging="360"/>
      </w:pPr>
      <w:rPr>
        <w:rFonts w:ascii="Courier New" w:hAnsi="Courier New" w:cs="Courier New" w:hint="default"/>
      </w:rPr>
    </w:lvl>
    <w:lvl w:ilvl="5" w:tplc="0C090005" w:tentative="1">
      <w:start w:val="1"/>
      <w:numFmt w:val="bullet"/>
      <w:lvlText w:val=""/>
      <w:lvlJc w:val="left"/>
      <w:pPr>
        <w:ind w:left="5234" w:hanging="360"/>
      </w:pPr>
      <w:rPr>
        <w:rFonts w:ascii="Wingdings" w:hAnsi="Wingdings" w:hint="default"/>
      </w:rPr>
    </w:lvl>
    <w:lvl w:ilvl="6" w:tplc="0C090001" w:tentative="1">
      <w:start w:val="1"/>
      <w:numFmt w:val="bullet"/>
      <w:lvlText w:val=""/>
      <w:lvlJc w:val="left"/>
      <w:pPr>
        <w:ind w:left="5954" w:hanging="360"/>
      </w:pPr>
      <w:rPr>
        <w:rFonts w:ascii="Symbol" w:hAnsi="Symbol" w:hint="default"/>
      </w:rPr>
    </w:lvl>
    <w:lvl w:ilvl="7" w:tplc="0C090003" w:tentative="1">
      <w:start w:val="1"/>
      <w:numFmt w:val="bullet"/>
      <w:lvlText w:val="o"/>
      <w:lvlJc w:val="left"/>
      <w:pPr>
        <w:ind w:left="6674" w:hanging="360"/>
      </w:pPr>
      <w:rPr>
        <w:rFonts w:ascii="Courier New" w:hAnsi="Courier New" w:cs="Courier New" w:hint="default"/>
      </w:rPr>
    </w:lvl>
    <w:lvl w:ilvl="8" w:tplc="0C090005" w:tentative="1">
      <w:start w:val="1"/>
      <w:numFmt w:val="bullet"/>
      <w:lvlText w:val=""/>
      <w:lvlJc w:val="left"/>
      <w:pPr>
        <w:ind w:left="7394" w:hanging="360"/>
      </w:pPr>
      <w:rPr>
        <w:rFonts w:ascii="Wingdings" w:hAnsi="Wingdings" w:hint="default"/>
      </w:rPr>
    </w:lvl>
  </w:abstractNum>
  <w:abstractNum w:abstractNumId="9">
    <w:nsid w:val="7334607E"/>
    <w:multiLevelType w:val="hybridMultilevel"/>
    <w:tmpl w:val="E1ECCCEC"/>
    <w:lvl w:ilvl="0" w:tplc="04090001">
      <w:start w:val="1"/>
      <w:numFmt w:val="bullet"/>
      <w:lvlText w:val=""/>
      <w:lvlJc w:val="left"/>
      <w:pPr>
        <w:ind w:left="1211" w:hanging="360"/>
      </w:pPr>
      <w:rPr>
        <w:rFonts w:ascii="Symbol" w:hAnsi="Symbol" w:hint="default"/>
      </w:rPr>
    </w:lvl>
    <w:lvl w:ilvl="1" w:tplc="F0E4FD8E">
      <w:start w:val="1"/>
      <w:numFmt w:val="bullet"/>
      <w:pStyle w:val="2Bulletedsecondlevel"/>
      <w:lvlText w:val="‒"/>
      <w:lvlJc w:val="left"/>
      <w:pPr>
        <w:ind w:left="1931" w:hanging="360"/>
      </w:pPr>
      <w:rPr>
        <w:rFonts w:ascii="Arial" w:hAnsi="Arial" w:hint="default"/>
      </w:rPr>
    </w:lvl>
    <w:lvl w:ilvl="2" w:tplc="04090005">
      <w:start w:val="1"/>
      <w:numFmt w:val="bullet"/>
      <w:lvlText w:val=""/>
      <w:lvlJc w:val="left"/>
      <w:pPr>
        <w:ind w:left="2651" w:hanging="360"/>
      </w:pPr>
      <w:rPr>
        <w:rFonts w:ascii="Wingdings" w:hAnsi="Wingdings" w:hint="default"/>
      </w:rPr>
    </w:lvl>
    <w:lvl w:ilvl="3" w:tplc="04090001">
      <w:start w:val="1"/>
      <w:numFmt w:val="bullet"/>
      <w:lvlText w:val=""/>
      <w:lvlJc w:val="left"/>
      <w:pPr>
        <w:ind w:left="3371" w:hanging="360"/>
      </w:pPr>
      <w:rPr>
        <w:rFonts w:ascii="Symbol" w:hAnsi="Symbol" w:hint="default"/>
      </w:rPr>
    </w:lvl>
    <w:lvl w:ilvl="4" w:tplc="04090003">
      <w:start w:val="1"/>
      <w:numFmt w:val="bullet"/>
      <w:lvlText w:val="o"/>
      <w:lvlJc w:val="left"/>
      <w:pPr>
        <w:ind w:left="4091" w:hanging="360"/>
      </w:pPr>
      <w:rPr>
        <w:rFonts w:ascii="Courier New" w:hAnsi="Courier New" w:cs="Times New Roman" w:hint="default"/>
      </w:rPr>
    </w:lvl>
    <w:lvl w:ilvl="5" w:tplc="04090005">
      <w:start w:val="1"/>
      <w:numFmt w:val="bullet"/>
      <w:lvlText w:val=""/>
      <w:lvlJc w:val="left"/>
      <w:pPr>
        <w:ind w:left="4811" w:hanging="360"/>
      </w:pPr>
      <w:rPr>
        <w:rFonts w:ascii="Wingdings" w:hAnsi="Wingdings" w:hint="default"/>
      </w:rPr>
    </w:lvl>
    <w:lvl w:ilvl="6" w:tplc="04090001">
      <w:start w:val="1"/>
      <w:numFmt w:val="bullet"/>
      <w:lvlText w:val=""/>
      <w:lvlJc w:val="left"/>
      <w:pPr>
        <w:ind w:left="5531" w:hanging="360"/>
      </w:pPr>
      <w:rPr>
        <w:rFonts w:ascii="Symbol" w:hAnsi="Symbol" w:hint="default"/>
      </w:rPr>
    </w:lvl>
    <w:lvl w:ilvl="7" w:tplc="04090003">
      <w:start w:val="1"/>
      <w:numFmt w:val="bullet"/>
      <w:lvlText w:val="o"/>
      <w:lvlJc w:val="left"/>
      <w:pPr>
        <w:ind w:left="6251" w:hanging="360"/>
      </w:pPr>
      <w:rPr>
        <w:rFonts w:ascii="Courier New" w:hAnsi="Courier New" w:cs="Times New Roman" w:hint="default"/>
      </w:rPr>
    </w:lvl>
    <w:lvl w:ilvl="8" w:tplc="04090005">
      <w:start w:val="1"/>
      <w:numFmt w:val="bullet"/>
      <w:lvlText w:val=""/>
      <w:lvlJc w:val="left"/>
      <w:pPr>
        <w:ind w:left="6971" w:hanging="360"/>
      </w:pPr>
      <w:rPr>
        <w:rFonts w:ascii="Wingdings" w:hAnsi="Wingdings" w:hint="default"/>
      </w:rPr>
    </w:lvl>
  </w:abstractNum>
  <w:num w:numId="1">
    <w:abstractNumId w:val="4"/>
  </w:num>
  <w:num w:numId="2">
    <w:abstractNumId w:val="9"/>
  </w:num>
  <w:num w:numId="3">
    <w:abstractNumId w:val="1"/>
  </w:num>
  <w:num w:numId="4">
    <w:abstractNumId w:val="7"/>
  </w:num>
  <w:num w:numId="5">
    <w:abstractNumId w:val="3"/>
  </w:num>
  <w:num w:numId="6">
    <w:abstractNumId w:val="6"/>
  </w:num>
  <w:num w:numId="7">
    <w:abstractNumId w:val="5"/>
  </w:num>
  <w:num w:numId="8">
    <w:abstractNumId w:val="8"/>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14D"/>
    <w:rsid w:val="00015563"/>
    <w:rsid w:val="00020677"/>
    <w:rsid w:val="0003048D"/>
    <w:rsid w:val="00031C63"/>
    <w:rsid w:val="00032A4A"/>
    <w:rsid w:val="00054732"/>
    <w:rsid w:val="0006559B"/>
    <w:rsid w:val="00084559"/>
    <w:rsid w:val="000B0E7D"/>
    <w:rsid w:val="000B7D0D"/>
    <w:rsid w:val="000C1C2F"/>
    <w:rsid w:val="000D0335"/>
    <w:rsid w:val="000D79EC"/>
    <w:rsid w:val="000E4DA0"/>
    <w:rsid w:val="000F3902"/>
    <w:rsid w:val="000F3B38"/>
    <w:rsid w:val="00106DED"/>
    <w:rsid w:val="00107750"/>
    <w:rsid w:val="001165A1"/>
    <w:rsid w:val="0011760B"/>
    <w:rsid w:val="00124B8D"/>
    <w:rsid w:val="0016239D"/>
    <w:rsid w:val="0016410D"/>
    <w:rsid w:val="00174112"/>
    <w:rsid w:val="001741E0"/>
    <w:rsid w:val="001752B4"/>
    <w:rsid w:val="001975BE"/>
    <w:rsid w:val="001A162D"/>
    <w:rsid w:val="001A4439"/>
    <w:rsid w:val="001A7ECE"/>
    <w:rsid w:val="001D1942"/>
    <w:rsid w:val="001E0F5C"/>
    <w:rsid w:val="001E7DE0"/>
    <w:rsid w:val="001F0A97"/>
    <w:rsid w:val="001F57B1"/>
    <w:rsid w:val="001F6CA3"/>
    <w:rsid w:val="00253A72"/>
    <w:rsid w:val="00261817"/>
    <w:rsid w:val="002901E7"/>
    <w:rsid w:val="0029056E"/>
    <w:rsid w:val="00291939"/>
    <w:rsid w:val="002A04DA"/>
    <w:rsid w:val="002A36C5"/>
    <w:rsid w:val="002A7681"/>
    <w:rsid w:val="002A7CA7"/>
    <w:rsid w:val="002C780B"/>
    <w:rsid w:val="002D0EB5"/>
    <w:rsid w:val="002D102F"/>
    <w:rsid w:val="002E5D01"/>
    <w:rsid w:val="003168C7"/>
    <w:rsid w:val="00323CED"/>
    <w:rsid w:val="0037170D"/>
    <w:rsid w:val="0037429F"/>
    <w:rsid w:val="003759D5"/>
    <w:rsid w:val="0038115F"/>
    <w:rsid w:val="003826E0"/>
    <w:rsid w:val="00387AFC"/>
    <w:rsid w:val="003B2945"/>
    <w:rsid w:val="003D19AF"/>
    <w:rsid w:val="003D6A77"/>
    <w:rsid w:val="003D6FFE"/>
    <w:rsid w:val="00406489"/>
    <w:rsid w:val="0041116F"/>
    <w:rsid w:val="00421E91"/>
    <w:rsid w:val="004251CA"/>
    <w:rsid w:val="00446C9E"/>
    <w:rsid w:val="0045580C"/>
    <w:rsid w:val="004611D1"/>
    <w:rsid w:val="00465478"/>
    <w:rsid w:val="004953C6"/>
    <w:rsid w:val="004D0D30"/>
    <w:rsid w:val="004D1D0E"/>
    <w:rsid w:val="004D2678"/>
    <w:rsid w:val="004D47D5"/>
    <w:rsid w:val="00500B5A"/>
    <w:rsid w:val="0050611E"/>
    <w:rsid w:val="0052378D"/>
    <w:rsid w:val="005248DE"/>
    <w:rsid w:val="00524EF3"/>
    <w:rsid w:val="0054618F"/>
    <w:rsid w:val="00560037"/>
    <w:rsid w:val="0056397A"/>
    <w:rsid w:val="00572F81"/>
    <w:rsid w:val="00584DA7"/>
    <w:rsid w:val="00595A82"/>
    <w:rsid w:val="00596CCA"/>
    <w:rsid w:val="005A66D2"/>
    <w:rsid w:val="005A7CE7"/>
    <w:rsid w:val="005B14A2"/>
    <w:rsid w:val="005B3E82"/>
    <w:rsid w:val="005B602A"/>
    <w:rsid w:val="005D0037"/>
    <w:rsid w:val="005E448A"/>
    <w:rsid w:val="00643B44"/>
    <w:rsid w:val="006967B5"/>
    <w:rsid w:val="006A0368"/>
    <w:rsid w:val="006A4ADB"/>
    <w:rsid w:val="006A7EB1"/>
    <w:rsid w:val="006B0905"/>
    <w:rsid w:val="006C6212"/>
    <w:rsid w:val="006D3BA8"/>
    <w:rsid w:val="006D577F"/>
    <w:rsid w:val="006D7B69"/>
    <w:rsid w:val="006E3468"/>
    <w:rsid w:val="00732411"/>
    <w:rsid w:val="00750B57"/>
    <w:rsid w:val="007667F0"/>
    <w:rsid w:val="00785F7E"/>
    <w:rsid w:val="007909C3"/>
    <w:rsid w:val="007E68E1"/>
    <w:rsid w:val="007F1B85"/>
    <w:rsid w:val="00813695"/>
    <w:rsid w:val="008221FD"/>
    <w:rsid w:val="008231F8"/>
    <w:rsid w:val="00852FED"/>
    <w:rsid w:val="00886292"/>
    <w:rsid w:val="008A236E"/>
    <w:rsid w:val="008A2F19"/>
    <w:rsid w:val="008C6C19"/>
    <w:rsid w:val="008D2E57"/>
    <w:rsid w:val="008D315C"/>
    <w:rsid w:val="008D4334"/>
    <w:rsid w:val="008F51C6"/>
    <w:rsid w:val="00904F6F"/>
    <w:rsid w:val="00906B4A"/>
    <w:rsid w:val="009122C4"/>
    <w:rsid w:val="00926520"/>
    <w:rsid w:val="009268B0"/>
    <w:rsid w:val="00940047"/>
    <w:rsid w:val="0094114D"/>
    <w:rsid w:val="00945DEB"/>
    <w:rsid w:val="009474CE"/>
    <w:rsid w:val="00956C99"/>
    <w:rsid w:val="00961AA0"/>
    <w:rsid w:val="0096586C"/>
    <w:rsid w:val="009805EB"/>
    <w:rsid w:val="009A184D"/>
    <w:rsid w:val="009A74FD"/>
    <w:rsid w:val="009C0487"/>
    <w:rsid w:val="009D531F"/>
    <w:rsid w:val="009E1491"/>
    <w:rsid w:val="009E7764"/>
    <w:rsid w:val="009F4840"/>
    <w:rsid w:val="00A00B5C"/>
    <w:rsid w:val="00A07B35"/>
    <w:rsid w:val="00A21DEE"/>
    <w:rsid w:val="00A2429D"/>
    <w:rsid w:val="00A25524"/>
    <w:rsid w:val="00A75557"/>
    <w:rsid w:val="00A83668"/>
    <w:rsid w:val="00AA7FBA"/>
    <w:rsid w:val="00AE0D9C"/>
    <w:rsid w:val="00AE6E95"/>
    <w:rsid w:val="00AF3EE6"/>
    <w:rsid w:val="00B11BA8"/>
    <w:rsid w:val="00B172A2"/>
    <w:rsid w:val="00B23483"/>
    <w:rsid w:val="00B2391E"/>
    <w:rsid w:val="00B26A50"/>
    <w:rsid w:val="00B3070A"/>
    <w:rsid w:val="00B549FE"/>
    <w:rsid w:val="00B96161"/>
    <w:rsid w:val="00B969EA"/>
    <w:rsid w:val="00BA34F3"/>
    <w:rsid w:val="00BB041A"/>
    <w:rsid w:val="00BB3A06"/>
    <w:rsid w:val="00BC70D8"/>
    <w:rsid w:val="00BD65CB"/>
    <w:rsid w:val="00BE0F37"/>
    <w:rsid w:val="00BE431D"/>
    <w:rsid w:val="00BF5417"/>
    <w:rsid w:val="00C01D63"/>
    <w:rsid w:val="00C13F3A"/>
    <w:rsid w:val="00C17505"/>
    <w:rsid w:val="00C3101E"/>
    <w:rsid w:val="00C42CAE"/>
    <w:rsid w:val="00C47AB8"/>
    <w:rsid w:val="00C5036B"/>
    <w:rsid w:val="00C6332A"/>
    <w:rsid w:val="00C720D1"/>
    <w:rsid w:val="00C75C12"/>
    <w:rsid w:val="00C85FD7"/>
    <w:rsid w:val="00C94547"/>
    <w:rsid w:val="00C972D5"/>
    <w:rsid w:val="00CA5438"/>
    <w:rsid w:val="00CB09E8"/>
    <w:rsid w:val="00CC520E"/>
    <w:rsid w:val="00CF2CAA"/>
    <w:rsid w:val="00D16552"/>
    <w:rsid w:val="00D273FF"/>
    <w:rsid w:val="00D30217"/>
    <w:rsid w:val="00D3081A"/>
    <w:rsid w:val="00D34C5E"/>
    <w:rsid w:val="00D35E2C"/>
    <w:rsid w:val="00D3753E"/>
    <w:rsid w:val="00D719D0"/>
    <w:rsid w:val="00D71DC5"/>
    <w:rsid w:val="00D8541D"/>
    <w:rsid w:val="00D94E5C"/>
    <w:rsid w:val="00DA516F"/>
    <w:rsid w:val="00DB4BFB"/>
    <w:rsid w:val="00DB66E8"/>
    <w:rsid w:val="00DC39AC"/>
    <w:rsid w:val="00DC530E"/>
    <w:rsid w:val="00DD1DF7"/>
    <w:rsid w:val="00DD6EFE"/>
    <w:rsid w:val="00E22FD2"/>
    <w:rsid w:val="00E463D2"/>
    <w:rsid w:val="00E5675F"/>
    <w:rsid w:val="00E56CCA"/>
    <w:rsid w:val="00E65D7C"/>
    <w:rsid w:val="00E75296"/>
    <w:rsid w:val="00E827B9"/>
    <w:rsid w:val="00E91AEE"/>
    <w:rsid w:val="00E91BA0"/>
    <w:rsid w:val="00EA46E7"/>
    <w:rsid w:val="00EA6406"/>
    <w:rsid w:val="00EB670F"/>
    <w:rsid w:val="00EC110D"/>
    <w:rsid w:val="00EE432B"/>
    <w:rsid w:val="00F0630E"/>
    <w:rsid w:val="00F35CAA"/>
    <w:rsid w:val="00F408F6"/>
    <w:rsid w:val="00F40ABD"/>
    <w:rsid w:val="00F43D9A"/>
    <w:rsid w:val="00F44F97"/>
    <w:rsid w:val="00F4716A"/>
    <w:rsid w:val="00F47CE9"/>
    <w:rsid w:val="00F60A00"/>
    <w:rsid w:val="00F75464"/>
    <w:rsid w:val="00F7788C"/>
    <w:rsid w:val="00F83D5A"/>
    <w:rsid w:val="00F9294C"/>
    <w:rsid w:val="00FA34F0"/>
    <w:rsid w:val="00FA524C"/>
    <w:rsid w:val="00FB3291"/>
    <w:rsid w:val="00FB52E4"/>
    <w:rsid w:val="00FC575A"/>
    <w:rsid w:val="00FD5B81"/>
    <w:rsid w:val="00FF1253"/>
    <w:rsid w:val="00FF1563"/>
    <w:rsid w:val="00FF66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478"/>
    <w:pPr>
      <w:widowControl w:val="0"/>
      <w:autoSpaceDE w:val="0"/>
      <w:autoSpaceDN w:val="0"/>
      <w:adjustRightInd w:val="0"/>
      <w:spacing w:after="0" w:line="288" w:lineRule="auto"/>
      <w:ind w:left="851" w:right="845"/>
    </w:pPr>
    <w:rPr>
      <w:rFonts w:ascii="Arial" w:eastAsia="Times New Roman" w:hAnsi="Arial" w:cs="Arial"/>
      <w:sz w:val="24"/>
      <w:szCs w:val="20"/>
      <w:lang w:eastAsia="en-AU"/>
    </w:rPr>
  </w:style>
  <w:style w:type="paragraph" w:styleId="Heading1">
    <w:name w:val="heading 1"/>
    <w:next w:val="Normal"/>
    <w:link w:val="Heading1Char"/>
    <w:uiPriority w:val="9"/>
    <w:qFormat/>
    <w:rsid w:val="001D1942"/>
    <w:pPr>
      <w:spacing w:after="240" w:line="240" w:lineRule="auto"/>
      <w:ind w:left="851"/>
      <w:outlineLvl w:val="0"/>
    </w:pPr>
    <w:rPr>
      <w:rFonts w:ascii="Arial" w:hAnsi="Arial" w:cs="Arial"/>
      <w:b/>
      <w:bCs/>
      <w:color w:val="005E79"/>
      <w:kern w:val="28"/>
      <w:sz w:val="36"/>
      <w:szCs w:val="28"/>
      <w:lang w:eastAsia="en-AU"/>
    </w:rPr>
  </w:style>
  <w:style w:type="paragraph" w:styleId="Heading2">
    <w:name w:val="heading 2"/>
    <w:basedOn w:val="Normal"/>
    <w:next w:val="Normal"/>
    <w:link w:val="Heading2Char"/>
    <w:uiPriority w:val="9"/>
    <w:unhideWhenUsed/>
    <w:qFormat/>
    <w:rsid w:val="00A00B5C"/>
    <w:pPr>
      <w:keepNext/>
      <w:keepLines/>
      <w:spacing w:after="60" w:line="240" w:lineRule="auto"/>
      <w:outlineLvl w:val="1"/>
    </w:pPr>
    <w:rPr>
      <w:rFonts w:eastAsiaTheme="majorEastAsia"/>
      <w:b/>
      <w:bCs/>
      <w:color w:val="005E79"/>
      <w:sz w:val="32"/>
      <w:szCs w:val="32"/>
    </w:rPr>
  </w:style>
  <w:style w:type="paragraph" w:styleId="Heading3">
    <w:name w:val="heading 3"/>
    <w:basedOn w:val="Heading1"/>
    <w:next w:val="Normal"/>
    <w:link w:val="Heading3Char"/>
    <w:uiPriority w:val="9"/>
    <w:unhideWhenUsed/>
    <w:qFormat/>
    <w:rsid w:val="00A00B5C"/>
    <w:pPr>
      <w:spacing w:after="60"/>
      <w:outlineLvl w:val="2"/>
    </w:pPr>
    <w:rPr>
      <w:rFonts w:eastAsia="Times New Roman"/>
      <w:sz w:val="28"/>
    </w:rPr>
  </w:style>
  <w:style w:type="paragraph" w:styleId="Heading4">
    <w:name w:val="heading 4"/>
    <w:basedOn w:val="Heading1"/>
    <w:next w:val="Normal"/>
    <w:link w:val="Heading4Char"/>
    <w:uiPriority w:val="9"/>
    <w:unhideWhenUsed/>
    <w:qFormat/>
    <w:rsid w:val="00A00B5C"/>
    <w:pPr>
      <w:keepNext/>
      <w:keepLines/>
      <w:spacing w:after="60"/>
      <w:outlineLvl w:val="3"/>
    </w:pPr>
    <w:rPr>
      <w:rFonts w:eastAsiaTheme="majorEastAsia" w:cstheme="majorBidi"/>
      <w:bCs w:val="0"/>
      <w:iCs/>
      <w:noProof/>
      <w:sz w:val="24"/>
    </w:rPr>
  </w:style>
  <w:style w:type="paragraph" w:styleId="Heading5">
    <w:name w:val="heading 5"/>
    <w:basedOn w:val="Heading4"/>
    <w:next w:val="Normal"/>
    <w:link w:val="Heading5Char"/>
    <w:uiPriority w:val="9"/>
    <w:unhideWhenUsed/>
    <w:qFormat/>
    <w:rsid w:val="00A00B5C"/>
    <w:pPr>
      <w:outlineLvl w:val="4"/>
    </w:pPr>
    <w:rPr>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0">
    <w:name w:val="Heading3 Char"/>
    <w:link w:val="Heading30"/>
    <w:locked/>
    <w:rsid w:val="00C972D5"/>
    <w:rPr>
      <w:rFonts w:ascii="Arial" w:hAnsi="Arial" w:cs="Arial"/>
      <w:b/>
      <w:bCs/>
      <w:kern w:val="28"/>
      <w:sz w:val="28"/>
      <w:szCs w:val="28"/>
      <w:lang w:eastAsia="en-AU"/>
    </w:rPr>
  </w:style>
  <w:style w:type="paragraph" w:customStyle="1" w:styleId="Heading30">
    <w:name w:val="Heading3"/>
    <w:basedOn w:val="Normal"/>
    <w:link w:val="Heading3Char0"/>
    <w:rsid w:val="00C972D5"/>
    <w:pPr>
      <w:spacing w:before="240" w:after="60"/>
      <w:outlineLvl w:val="0"/>
    </w:pPr>
    <w:rPr>
      <w:rFonts w:eastAsiaTheme="minorHAnsi"/>
      <w:b/>
      <w:bCs/>
      <w:kern w:val="28"/>
      <w:sz w:val="28"/>
      <w:szCs w:val="28"/>
    </w:rPr>
  </w:style>
  <w:style w:type="character" w:styleId="SubtleEmphasis">
    <w:name w:val="Subtle Emphasis"/>
    <w:aliases w:val="Body text"/>
    <w:uiPriority w:val="19"/>
    <w:qFormat/>
    <w:rsid w:val="00A00B5C"/>
    <w:rPr>
      <w:color w:val="000000" w:themeColor="text1"/>
      <w:szCs w:val="28"/>
    </w:rPr>
  </w:style>
  <w:style w:type="paragraph" w:styleId="Header">
    <w:name w:val="header"/>
    <w:basedOn w:val="Normal"/>
    <w:link w:val="HeaderChar"/>
    <w:uiPriority w:val="99"/>
    <w:unhideWhenUsed/>
    <w:rsid w:val="00C972D5"/>
    <w:pPr>
      <w:tabs>
        <w:tab w:val="center" w:pos="4513"/>
        <w:tab w:val="right" w:pos="9026"/>
      </w:tabs>
    </w:pPr>
  </w:style>
  <w:style w:type="character" w:customStyle="1" w:styleId="HeaderChar">
    <w:name w:val="Header Char"/>
    <w:basedOn w:val="DefaultParagraphFont"/>
    <w:link w:val="Header"/>
    <w:uiPriority w:val="99"/>
    <w:rsid w:val="00C972D5"/>
    <w:rPr>
      <w:rFonts w:ascii="Arial" w:eastAsia="Times New Roman" w:hAnsi="Arial" w:cs="Arial"/>
      <w:sz w:val="20"/>
      <w:szCs w:val="20"/>
      <w:lang w:eastAsia="en-AU"/>
    </w:rPr>
  </w:style>
  <w:style w:type="paragraph" w:styleId="Footer">
    <w:name w:val="footer"/>
    <w:basedOn w:val="Normal"/>
    <w:link w:val="FooterChar"/>
    <w:uiPriority w:val="99"/>
    <w:unhideWhenUsed/>
    <w:rsid w:val="00C972D5"/>
    <w:pPr>
      <w:tabs>
        <w:tab w:val="center" w:pos="4513"/>
        <w:tab w:val="right" w:pos="9026"/>
      </w:tabs>
    </w:pPr>
  </w:style>
  <w:style w:type="character" w:customStyle="1" w:styleId="FooterChar">
    <w:name w:val="Footer Char"/>
    <w:basedOn w:val="DefaultParagraphFont"/>
    <w:link w:val="Footer"/>
    <w:uiPriority w:val="99"/>
    <w:rsid w:val="00C972D5"/>
    <w:rPr>
      <w:rFonts w:ascii="Arial" w:eastAsia="Times New Roman" w:hAnsi="Arial" w:cs="Arial"/>
      <w:sz w:val="20"/>
      <w:szCs w:val="20"/>
      <w:lang w:eastAsia="en-AU"/>
    </w:rPr>
  </w:style>
  <w:style w:type="paragraph" w:styleId="BalloonText">
    <w:name w:val="Balloon Text"/>
    <w:basedOn w:val="Normal"/>
    <w:link w:val="BalloonTextChar"/>
    <w:uiPriority w:val="99"/>
    <w:semiHidden/>
    <w:unhideWhenUsed/>
    <w:rsid w:val="00C972D5"/>
    <w:rPr>
      <w:rFonts w:ascii="Tahoma" w:hAnsi="Tahoma" w:cs="Tahoma"/>
      <w:sz w:val="16"/>
      <w:szCs w:val="16"/>
    </w:rPr>
  </w:style>
  <w:style w:type="character" w:customStyle="1" w:styleId="BalloonTextChar">
    <w:name w:val="Balloon Text Char"/>
    <w:basedOn w:val="DefaultParagraphFont"/>
    <w:link w:val="BalloonText"/>
    <w:uiPriority w:val="99"/>
    <w:semiHidden/>
    <w:rsid w:val="00C972D5"/>
    <w:rPr>
      <w:rFonts w:ascii="Tahoma" w:eastAsia="Times New Roman" w:hAnsi="Tahoma" w:cs="Tahoma"/>
      <w:sz w:val="16"/>
      <w:szCs w:val="16"/>
      <w:lang w:eastAsia="en-AU"/>
    </w:rPr>
  </w:style>
  <w:style w:type="paragraph" w:styleId="ListParagraph">
    <w:name w:val="List Paragraph"/>
    <w:basedOn w:val="Normal"/>
    <w:link w:val="ListParagraphChar"/>
    <w:uiPriority w:val="34"/>
    <w:rsid w:val="00EE432B"/>
    <w:pPr>
      <w:ind w:left="720"/>
      <w:contextualSpacing/>
    </w:pPr>
  </w:style>
  <w:style w:type="paragraph" w:styleId="Title">
    <w:name w:val="Title"/>
    <w:basedOn w:val="Normal"/>
    <w:next w:val="Normal"/>
    <w:link w:val="TitleChar"/>
    <w:uiPriority w:val="10"/>
    <w:rsid w:val="0038115F"/>
    <w:pPr>
      <w:spacing w:after="300"/>
      <w:contextualSpacing/>
    </w:pPr>
    <w:rPr>
      <w:rFonts w:eastAsiaTheme="majorEastAsia"/>
      <w:b/>
      <w:color w:val="548DD4" w:themeColor="text2" w:themeTint="99"/>
      <w:spacing w:val="5"/>
      <w:kern w:val="28"/>
      <w:sz w:val="52"/>
      <w:szCs w:val="52"/>
    </w:rPr>
  </w:style>
  <w:style w:type="character" w:customStyle="1" w:styleId="TitleChar">
    <w:name w:val="Title Char"/>
    <w:basedOn w:val="DefaultParagraphFont"/>
    <w:link w:val="Title"/>
    <w:uiPriority w:val="10"/>
    <w:rsid w:val="0038115F"/>
    <w:rPr>
      <w:rFonts w:ascii="Arial" w:eastAsiaTheme="majorEastAsia" w:hAnsi="Arial" w:cs="Arial"/>
      <w:b/>
      <w:color w:val="548DD4" w:themeColor="text2" w:themeTint="99"/>
      <w:spacing w:val="5"/>
      <w:kern w:val="28"/>
      <w:sz w:val="52"/>
      <w:szCs w:val="52"/>
      <w:lang w:eastAsia="en-AU"/>
    </w:rPr>
  </w:style>
  <w:style w:type="character" w:customStyle="1" w:styleId="Heading1Char">
    <w:name w:val="Heading 1 Char"/>
    <w:basedOn w:val="DefaultParagraphFont"/>
    <w:link w:val="Heading1"/>
    <w:uiPriority w:val="9"/>
    <w:rsid w:val="001D1942"/>
    <w:rPr>
      <w:rFonts w:ascii="Arial" w:hAnsi="Arial" w:cs="Arial"/>
      <w:b/>
      <w:bCs/>
      <w:color w:val="005E79"/>
      <w:kern w:val="28"/>
      <w:sz w:val="36"/>
      <w:szCs w:val="28"/>
      <w:lang w:eastAsia="en-AU"/>
    </w:rPr>
  </w:style>
  <w:style w:type="character" w:customStyle="1" w:styleId="Heading2Char">
    <w:name w:val="Heading 2 Char"/>
    <w:basedOn w:val="DefaultParagraphFont"/>
    <w:link w:val="Heading2"/>
    <w:uiPriority w:val="9"/>
    <w:rsid w:val="00A00B5C"/>
    <w:rPr>
      <w:rFonts w:ascii="Arial" w:eastAsiaTheme="majorEastAsia" w:hAnsi="Arial" w:cs="Arial"/>
      <w:b/>
      <w:bCs/>
      <w:color w:val="005E79"/>
      <w:sz w:val="32"/>
      <w:szCs w:val="32"/>
      <w:lang w:eastAsia="en-AU"/>
    </w:rPr>
  </w:style>
  <w:style w:type="character" w:customStyle="1" w:styleId="Heading3Char">
    <w:name w:val="Heading 3 Char"/>
    <w:basedOn w:val="DefaultParagraphFont"/>
    <w:link w:val="Heading3"/>
    <w:uiPriority w:val="9"/>
    <w:rsid w:val="00A00B5C"/>
    <w:rPr>
      <w:rFonts w:ascii="Arial" w:eastAsia="Times New Roman" w:hAnsi="Arial" w:cs="Arial"/>
      <w:b/>
      <w:bCs/>
      <w:color w:val="005E79"/>
      <w:kern w:val="28"/>
      <w:sz w:val="28"/>
      <w:szCs w:val="28"/>
      <w:lang w:eastAsia="en-AU"/>
    </w:rPr>
  </w:style>
  <w:style w:type="character" w:customStyle="1" w:styleId="Heading4Char">
    <w:name w:val="Heading 4 Char"/>
    <w:basedOn w:val="DefaultParagraphFont"/>
    <w:link w:val="Heading4"/>
    <w:uiPriority w:val="9"/>
    <w:rsid w:val="00A00B5C"/>
    <w:rPr>
      <w:rFonts w:ascii="Arial" w:eastAsiaTheme="majorEastAsia" w:hAnsi="Arial" w:cstheme="majorBidi"/>
      <w:b/>
      <w:iCs/>
      <w:noProof/>
      <w:color w:val="005E79"/>
      <w:kern w:val="28"/>
      <w:sz w:val="24"/>
      <w:szCs w:val="28"/>
      <w:lang w:eastAsia="en-AU"/>
    </w:rPr>
  </w:style>
  <w:style w:type="paragraph" w:customStyle="1" w:styleId="1Bulletedfirstlevel">
    <w:name w:val="1. Bulleted (first level)"/>
    <w:basedOn w:val="Normal"/>
    <w:link w:val="1BulletedfirstlevelChar"/>
    <w:qFormat/>
    <w:rsid w:val="00465478"/>
    <w:pPr>
      <w:numPr>
        <w:numId w:val="1"/>
      </w:numPr>
      <w:ind w:left="1135" w:hanging="284"/>
    </w:pPr>
  </w:style>
  <w:style w:type="paragraph" w:customStyle="1" w:styleId="2Bulletedsecondlevel">
    <w:name w:val="2 Bulleted (second level)"/>
    <w:basedOn w:val="Normal"/>
    <w:qFormat/>
    <w:rsid w:val="0038115F"/>
    <w:pPr>
      <w:numPr>
        <w:ilvl w:val="1"/>
        <w:numId w:val="2"/>
      </w:numPr>
      <w:ind w:left="1418" w:right="680" w:hanging="284"/>
    </w:pPr>
  </w:style>
  <w:style w:type="character" w:customStyle="1" w:styleId="ListParagraphChar">
    <w:name w:val="List Paragraph Char"/>
    <w:basedOn w:val="DefaultParagraphFont"/>
    <w:link w:val="ListParagraph"/>
    <w:uiPriority w:val="34"/>
    <w:rsid w:val="0038115F"/>
    <w:rPr>
      <w:rFonts w:ascii="Arial" w:eastAsia="Times New Roman" w:hAnsi="Arial" w:cs="Arial"/>
      <w:sz w:val="24"/>
      <w:szCs w:val="20"/>
      <w:lang w:eastAsia="en-AU"/>
    </w:rPr>
  </w:style>
  <w:style w:type="character" w:customStyle="1" w:styleId="1BulletedfirstlevelChar">
    <w:name w:val="1. Bulleted (first level) Char"/>
    <w:basedOn w:val="ListParagraphChar"/>
    <w:link w:val="1Bulletedfirstlevel"/>
    <w:rsid w:val="00926520"/>
    <w:rPr>
      <w:rFonts w:ascii="Arial" w:eastAsia="Times New Roman" w:hAnsi="Arial" w:cs="Arial"/>
      <w:sz w:val="24"/>
      <w:szCs w:val="20"/>
      <w:lang w:eastAsia="en-AU"/>
    </w:rPr>
  </w:style>
  <w:style w:type="paragraph" w:customStyle="1" w:styleId="3oBulletedthirdlevel">
    <w:name w:val="3. o Bulleted (third level)"/>
    <w:basedOn w:val="Normal"/>
    <w:next w:val="1Bulletedfirstlevel"/>
    <w:qFormat/>
    <w:rsid w:val="0038115F"/>
    <w:pPr>
      <w:numPr>
        <w:ilvl w:val="1"/>
        <w:numId w:val="1"/>
      </w:numPr>
      <w:ind w:left="1702" w:hanging="284"/>
    </w:pPr>
  </w:style>
  <w:style w:type="table" w:styleId="TableGrid">
    <w:name w:val="Table Grid"/>
    <w:basedOn w:val="TableNormal"/>
    <w:uiPriority w:val="59"/>
    <w:rsid w:val="00E65D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itle">
    <w:name w:val="table title"/>
    <w:basedOn w:val="Heading3"/>
    <w:link w:val="tabletitleChar"/>
    <w:qFormat/>
    <w:rsid w:val="00CA5438"/>
    <w:pPr>
      <w:spacing w:before="40" w:after="40"/>
    </w:pPr>
  </w:style>
  <w:style w:type="paragraph" w:styleId="Subtitle">
    <w:name w:val="Subtitle"/>
    <w:basedOn w:val="Normal"/>
    <w:next w:val="Normal"/>
    <w:link w:val="SubtitleChar"/>
    <w:uiPriority w:val="11"/>
    <w:rsid w:val="00956C99"/>
    <w:pPr>
      <w:numPr>
        <w:ilvl w:val="1"/>
      </w:numPr>
      <w:ind w:left="851"/>
    </w:pPr>
    <w:rPr>
      <w:rFonts w:eastAsiaTheme="majorEastAsia" w:cstheme="majorBidi"/>
      <w:b/>
      <w:iCs/>
      <w:color w:val="005E79"/>
      <w:spacing w:val="15"/>
      <w:sz w:val="28"/>
      <w:szCs w:val="24"/>
    </w:rPr>
  </w:style>
  <w:style w:type="character" w:customStyle="1" w:styleId="tabletitleChar">
    <w:name w:val="table title Char"/>
    <w:basedOn w:val="Heading3Char"/>
    <w:link w:val="tabletitle"/>
    <w:rsid w:val="00CA5438"/>
    <w:rPr>
      <w:rFonts w:ascii="Arial" w:eastAsia="Times New Roman" w:hAnsi="Arial" w:cs="Arial"/>
      <w:b/>
      <w:bCs/>
      <w:color w:val="005E79"/>
      <w:kern w:val="28"/>
      <w:sz w:val="28"/>
      <w:szCs w:val="28"/>
      <w:lang w:eastAsia="en-AU"/>
    </w:rPr>
  </w:style>
  <w:style w:type="character" w:customStyle="1" w:styleId="SubtitleChar">
    <w:name w:val="Subtitle Char"/>
    <w:basedOn w:val="DefaultParagraphFont"/>
    <w:link w:val="Subtitle"/>
    <w:uiPriority w:val="11"/>
    <w:rsid w:val="00956C99"/>
    <w:rPr>
      <w:rFonts w:ascii="Arial" w:eastAsiaTheme="majorEastAsia" w:hAnsi="Arial" w:cstheme="majorBidi"/>
      <w:b/>
      <w:iCs/>
      <w:color w:val="005E79"/>
      <w:spacing w:val="15"/>
      <w:sz w:val="28"/>
      <w:szCs w:val="24"/>
      <w:lang w:eastAsia="en-AU"/>
    </w:rPr>
  </w:style>
  <w:style w:type="character" w:customStyle="1" w:styleId="Heading5Char">
    <w:name w:val="Heading 5 Char"/>
    <w:basedOn w:val="DefaultParagraphFont"/>
    <w:link w:val="Heading5"/>
    <w:uiPriority w:val="9"/>
    <w:rsid w:val="00A00B5C"/>
    <w:rPr>
      <w:rFonts w:ascii="Arial" w:eastAsiaTheme="majorEastAsia" w:hAnsi="Arial" w:cstheme="majorBidi"/>
      <w:b/>
      <w:iCs/>
      <w:noProof/>
      <w:color w:val="243F60" w:themeColor="accent1" w:themeShade="7F"/>
      <w:kern w:val="28"/>
      <w:sz w:val="24"/>
      <w:szCs w:val="28"/>
      <w:lang w:eastAsia="en-AU"/>
    </w:rPr>
  </w:style>
  <w:style w:type="character" w:styleId="Emphasis">
    <w:name w:val="Emphasis"/>
    <w:basedOn w:val="DefaultParagraphFont"/>
    <w:uiPriority w:val="20"/>
    <w:qFormat/>
    <w:rsid w:val="001975BE"/>
    <w:rPr>
      <w:rFonts w:ascii="Arial" w:hAnsi="Arial"/>
      <w:i/>
      <w:iCs/>
      <w:sz w:val="24"/>
    </w:rPr>
  </w:style>
  <w:style w:type="paragraph" w:customStyle="1" w:styleId="tabletext">
    <w:name w:val="table text"/>
    <w:basedOn w:val="Normal"/>
    <w:qFormat/>
    <w:rsid w:val="00465478"/>
    <w:pPr>
      <w:spacing w:before="40" w:after="40" w:line="240" w:lineRule="auto"/>
      <w:ind w:left="57" w:right="0"/>
    </w:pPr>
  </w:style>
  <w:style w:type="paragraph" w:styleId="Caption">
    <w:name w:val="caption"/>
    <w:basedOn w:val="Normal"/>
    <w:next w:val="Normal"/>
    <w:uiPriority w:val="35"/>
    <w:unhideWhenUsed/>
    <w:qFormat/>
    <w:rsid w:val="00C720D1"/>
    <w:pPr>
      <w:spacing w:after="200" w:line="240" w:lineRule="auto"/>
    </w:pPr>
    <w:rPr>
      <w:b/>
      <w:bCs/>
      <w:color w:val="005E79"/>
      <w:sz w:val="18"/>
      <w:szCs w:val="18"/>
    </w:rPr>
  </w:style>
  <w:style w:type="paragraph" w:customStyle="1" w:styleId="tableheading">
    <w:name w:val="table heading"/>
    <w:basedOn w:val="Heading2"/>
    <w:link w:val="tableheadingChar"/>
    <w:qFormat/>
    <w:rsid w:val="003D6FFE"/>
  </w:style>
  <w:style w:type="paragraph" w:customStyle="1" w:styleId="heading5a">
    <w:name w:val="heading 5a"/>
    <w:basedOn w:val="Normal"/>
    <w:link w:val="heading5aChar"/>
    <w:qFormat/>
    <w:rsid w:val="00EA6406"/>
    <w:pPr>
      <w:widowControl/>
      <w:autoSpaceDE/>
      <w:autoSpaceDN/>
      <w:adjustRightInd/>
      <w:spacing w:before="60" w:line="264" w:lineRule="auto"/>
      <w:ind w:left="0" w:right="0"/>
    </w:pPr>
    <w:rPr>
      <w:rFonts w:cs="Times New Roman"/>
      <w:b/>
      <w:szCs w:val="24"/>
      <w:lang w:val="en-US"/>
    </w:rPr>
  </w:style>
  <w:style w:type="character" w:customStyle="1" w:styleId="tableheadingChar">
    <w:name w:val="table heading Char"/>
    <w:basedOn w:val="Heading2Char"/>
    <w:link w:val="tableheading"/>
    <w:rsid w:val="003D6FFE"/>
    <w:rPr>
      <w:rFonts w:ascii="Arial" w:eastAsiaTheme="majorEastAsia" w:hAnsi="Arial" w:cs="Arial"/>
      <w:b/>
      <w:bCs/>
      <w:color w:val="005E79"/>
      <w:sz w:val="32"/>
      <w:szCs w:val="32"/>
      <w:lang w:eastAsia="en-AU"/>
    </w:rPr>
  </w:style>
  <w:style w:type="character" w:customStyle="1" w:styleId="heading5aChar">
    <w:name w:val="heading 5a Char"/>
    <w:basedOn w:val="DefaultParagraphFont"/>
    <w:link w:val="heading5a"/>
    <w:rsid w:val="00EA6406"/>
    <w:rPr>
      <w:rFonts w:ascii="Arial" w:eastAsia="Times New Roman" w:hAnsi="Arial" w:cs="Times New Roman"/>
      <w:b/>
      <w:sz w:val="24"/>
      <w:szCs w:val="24"/>
      <w:lang w:val="en-US" w:eastAsia="en-AU"/>
    </w:rPr>
  </w:style>
  <w:style w:type="paragraph" w:styleId="IntenseQuote">
    <w:name w:val="Intense Quote"/>
    <w:basedOn w:val="Normal"/>
    <w:next w:val="Normal"/>
    <w:link w:val="IntenseQuoteChar"/>
    <w:uiPriority w:val="30"/>
    <w:qFormat/>
    <w:rsid w:val="00A00B5C"/>
    <w:pPr>
      <w:pBdr>
        <w:bottom w:val="single" w:sz="4" w:space="4" w:color="4F81BD" w:themeColor="accent1"/>
      </w:pBdr>
      <w:spacing w:before="200" w:after="280"/>
      <w:ind w:left="936" w:right="936"/>
    </w:pPr>
    <w:rPr>
      <w:b/>
      <w:bCs/>
      <w:i/>
      <w:iCs/>
      <w:color w:val="005E79"/>
    </w:rPr>
  </w:style>
  <w:style w:type="character" w:customStyle="1" w:styleId="IntenseQuoteChar">
    <w:name w:val="Intense Quote Char"/>
    <w:basedOn w:val="DefaultParagraphFont"/>
    <w:link w:val="IntenseQuote"/>
    <w:uiPriority w:val="30"/>
    <w:rsid w:val="00A00B5C"/>
    <w:rPr>
      <w:rFonts w:ascii="Arial" w:eastAsia="Times New Roman" w:hAnsi="Arial" w:cs="Arial"/>
      <w:b/>
      <w:bCs/>
      <w:i/>
      <w:iCs/>
      <w:color w:val="005E79"/>
      <w:sz w:val="24"/>
      <w:szCs w:val="20"/>
      <w:lang w:eastAsia="en-AU"/>
    </w:rPr>
  </w:style>
  <w:style w:type="character" w:styleId="BookTitle">
    <w:name w:val="Book Title"/>
    <w:basedOn w:val="DefaultParagraphFont"/>
    <w:uiPriority w:val="33"/>
    <w:qFormat/>
    <w:rsid w:val="00C720D1"/>
    <w:rPr>
      <w:rFonts w:ascii="Arial" w:hAnsi="Arial"/>
      <w:b/>
      <w:bCs/>
      <w:smallCaps/>
      <w:spacing w:val="5"/>
      <w:sz w:val="24"/>
    </w:rPr>
  </w:style>
  <w:style w:type="paragraph" w:styleId="FootnoteText">
    <w:name w:val="footnote text"/>
    <w:basedOn w:val="Normal"/>
    <w:link w:val="FootnoteTextChar"/>
    <w:uiPriority w:val="99"/>
    <w:semiHidden/>
    <w:unhideWhenUsed/>
    <w:rsid w:val="008D2E57"/>
    <w:pPr>
      <w:spacing w:line="240" w:lineRule="auto"/>
    </w:pPr>
    <w:rPr>
      <w:sz w:val="20"/>
    </w:rPr>
  </w:style>
  <w:style w:type="character" w:customStyle="1" w:styleId="FootnoteTextChar">
    <w:name w:val="Footnote Text Char"/>
    <w:basedOn w:val="DefaultParagraphFont"/>
    <w:link w:val="FootnoteText"/>
    <w:uiPriority w:val="99"/>
    <w:semiHidden/>
    <w:rsid w:val="008D2E57"/>
    <w:rPr>
      <w:rFonts w:ascii="Arial" w:eastAsia="Times New Roman" w:hAnsi="Arial" w:cs="Arial"/>
      <w:sz w:val="20"/>
      <w:szCs w:val="20"/>
      <w:lang w:eastAsia="en-AU"/>
    </w:rPr>
  </w:style>
  <w:style w:type="character" w:styleId="FootnoteReference">
    <w:name w:val="footnote reference"/>
    <w:basedOn w:val="DefaultParagraphFont"/>
    <w:uiPriority w:val="99"/>
    <w:semiHidden/>
    <w:unhideWhenUsed/>
    <w:rsid w:val="008D2E57"/>
    <w:rPr>
      <w:vertAlign w:val="superscript"/>
    </w:rPr>
  </w:style>
  <w:style w:type="character" w:styleId="Hyperlink">
    <w:name w:val="Hyperlink"/>
    <w:basedOn w:val="DefaultParagraphFont"/>
    <w:uiPriority w:val="99"/>
    <w:unhideWhenUsed/>
    <w:rsid w:val="00015563"/>
    <w:rPr>
      <w:color w:val="0000FF" w:themeColor="hyperlink"/>
      <w:u w:val="single"/>
    </w:rPr>
  </w:style>
  <w:style w:type="character" w:styleId="CommentReference">
    <w:name w:val="annotation reference"/>
    <w:basedOn w:val="DefaultParagraphFont"/>
    <w:uiPriority w:val="99"/>
    <w:semiHidden/>
    <w:unhideWhenUsed/>
    <w:rsid w:val="00B969EA"/>
    <w:rPr>
      <w:sz w:val="16"/>
      <w:szCs w:val="16"/>
    </w:rPr>
  </w:style>
  <w:style w:type="paragraph" w:styleId="CommentText">
    <w:name w:val="annotation text"/>
    <w:basedOn w:val="Normal"/>
    <w:link w:val="CommentTextChar"/>
    <w:uiPriority w:val="99"/>
    <w:semiHidden/>
    <w:unhideWhenUsed/>
    <w:rsid w:val="00B969EA"/>
    <w:pPr>
      <w:spacing w:line="240" w:lineRule="auto"/>
    </w:pPr>
    <w:rPr>
      <w:sz w:val="20"/>
    </w:rPr>
  </w:style>
  <w:style w:type="character" w:customStyle="1" w:styleId="CommentTextChar">
    <w:name w:val="Comment Text Char"/>
    <w:basedOn w:val="DefaultParagraphFont"/>
    <w:link w:val="CommentText"/>
    <w:uiPriority w:val="99"/>
    <w:semiHidden/>
    <w:rsid w:val="00B969EA"/>
    <w:rPr>
      <w:rFonts w:ascii="Arial" w:eastAsia="Times New Roman" w:hAnsi="Arial" w:cs="Arial"/>
      <w:sz w:val="20"/>
      <w:szCs w:val="20"/>
      <w:lang w:eastAsia="en-AU"/>
    </w:rPr>
  </w:style>
  <w:style w:type="paragraph" w:styleId="CommentSubject">
    <w:name w:val="annotation subject"/>
    <w:basedOn w:val="CommentText"/>
    <w:next w:val="CommentText"/>
    <w:link w:val="CommentSubjectChar"/>
    <w:uiPriority w:val="99"/>
    <w:semiHidden/>
    <w:unhideWhenUsed/>
    <w:rsid w:val="00B969EA"/>
    <w:rPr>
      <w:b/>
      <w:bCs/>
    </w:rPr>
  </w:style>
  <w:style w:type="character" w:customStyle="1" w:styleId="CommentSubjectChar">
    <w:name w:val="Comment Subject Char"/>
    <w:basedOn w:val="CommentTextChar"/>
    <w:link w:val="CommentSubject"/>
    <w:uiPriority w:val="99"/>
    <w:semiHidden/>
    <w:rsid w:val="00B969EA"/>
    <w:rPr>
      <w:rFonts w:ascii="Arial" w:eastAsia="Times New Roman" w:hAnsi="Arial" w:cs="Arial"/>
      <w:b/>
      <w:bCs/>
      <w:sz w:val="20"/>
      <w:szCs w:val="20"/>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478"/>
    <w:pPr>
      <w:widowControl w:val="0"/>
      <w:autoSpaceDE w:val="0"/>
      <w:autoSpaceDN w:val="0"/>
      <w:adjustRightInd w:val="0"/>
      <w:spacing w:after="0" w:line="288" w:lineRule="auto"/>
      <w:ind w:left="851" w:right="845"/>
    </w:pPr>
    <w:rPr>
      <w:rFonts w:ascii="Arial" w:eastAsia="Times New Roman" w:hAnsi="Arial" w:cs="Arial"/>
      <w:sz w:val="24"/>
      <w:szCs w:val="20"/>
      <w:lang w:eastAsia="en-AU"/>
    </w:rPr>
  </w:style>
  <w:style w:type="paragraph" w:styleId="Heading1">
    <w:name w:val="heading 1"/>
    <w:next w:val="Normal"/>
    <w:link w:val="Heading1Char"/>
    <w:uiPriority w:val="9"/>
    <w:qFormat/>
    <w:rsid w:val="001D1942"/>
    <w:pPr>
      <w:spacing w:after="240" w:line="240" w:lineRule="auto"/>
      <w:ind w:left="851"/>
      <w:outlineLvl w:val="0"/>
    </w:pPr>
    <w:rPr>
      <w:rFonts w:ascii="Arial" w:hAnsi="Arial" w:cs="Arial"/>
      <w:b/>
      <w:bCs/>
      <w:color w:val="005E79"/>
      <w:kern w:val="28"/>
      <w:sz w:val="36"/>
      <w:szCs w:val="28"/>
      <w:lang w:eastAsia="en-AU"/>
    </w:rPr>
  </w:style>
  <w:style w:type="paragraph" w:styleId="Heading2">
    <w:name w:val="heading 2"/>
    <w:basedOn w:val="Normal"/>
    <w:next w:val="Normal"/>
    <w:link w:val="Heading2Char"/>
    <w:uiPriority w:val="9"/>
    <w:unhideWhenUsed/>
    <w:qFormat/>
    <w:rsid w:val="00A00B5C"/>
    <w:pPr>
      <w:keepNext/>
      <w:keepLines/>
      <w:spacing w:after="60" w:line="240" w:lineRule="auto"/>
      <w:outlineLvl w:val="1"/>
    </w:pPr>
    <w:rPr>
      <w:rFonts w:eastAsiaTheme="majorEastAsia"/>
      <w:b/>
      <w:bCs/>
      <w:color w:val="005E79"/>
      <w:sz w:val="32"/>
      <w:szCs w:val="32"/>
    </w:rPr>
  </w:style>
  <w:style w:type="paragraph" w:styleId="Heading3">
    <w:name w:val="heading 3"/>
    <w:basedOn w:val="Heading1"/>
    <w:next w:val="Normal"/>
    <w:link w:val="Heading3Char"/>
    <w:uiPriority w:val="9"/>
    <w:unhideWhenUsed/>
    <w:qFormat/>
    <w:rsid w:val="00A00B5C"/>
    <w:pPr>
      <w:spacing w:after="60"/>
      <w:outlineLvl w:val="2"/>
    </w:pPr>
    <w:rPr>
      <w:rFonts w:eastAsia="Times New Roman"/>
      <w:sz w:val="28"/>
    </w:rPr>
  </w:style>
  <w:style w:type="paragraph" w:styleId="Heading4">
    <w:name w:val="heading 4"/>
    <w:basedOn w:val="Heading1"/>
    <w:next w:val="Normal"/>
    <w:link w:val="Heading4Char"/>
    <w:uiPriority w:val="9"/>
    <w:unhideWhenUsed/>
    <w:qFormat/>
    <w:rsid w:val="00A00B5C"/>
    <w:pPr>
      <w:keepNext/>
      <w:keepLines/>
      <w:spacing w:after="60"/>
      <w:outlineLvl w:val="3"/>
    </w:pPr>
    <w:rPr>
      <w:rFonts w:eastAsiaTheme="majorEastAsia" w:cstheme="majorBidi"/>
      <w:bCs w:val="0"/>
      <w:iCs/>
      <w:noProof/>
      <w:sz w:val="24"/>
    </w:rPr>
  </w:style>
  <w:style w:type="paragraph" w:styleId="Heading5">
    <w:name w:val="heading 5"/>
    <w:basedOn w:val="Heading4"/>
    <w:next w:val="Normal"/>
    <w:link w:val="Heading5Char"/>
    <w:uiPriority w:val="9"/>
    <w:unhideWhenUsed/>
    <w:qFormat/>
    <w:rsid w:val="00A00B5C"/>
    <w:pPr>
      <w:outlineLvl w:val="4"/>
    </w:pPr>
    <w:rPr>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0">
    <w:name w:val="Heading3 Char"/>
    <w:link w:val="Heading30"/>
    <w:locked/>
    <w:rsid w:val="00C972D5"/>
    <w:rPr>
      <w:rFonts w:ascii="Arial" w:hAnsi="Arial" w:cs="Arial"/>
      <w:b/>
      <w:bCs/>
      <w:kern w:val="28"/>
      <w:sz w:val="28"/>
      <w:szCs w:val="28"/>
      <w:lang w:eastAsia="en-AU"/>
    </w:rPr>
  </w:style>
  <w:style w:type="paragraph" w:customStyle="1" w:styleId="Heading30">
    <w:name w:val="Heading3"/>
    <w:basedOn w:val="Normal"/>
    <w:link w:val="Heading3Char0"/>
    <w:rsid w:val="00C972D5"/>
    <w:pPr>
      <w:spacing w:before="240" w:after="60"/>
      <w:outlineLvl w:val="0"/>
    </w:pPr>
    <w:rPr>
      <w:rFonts w:eastAsiaTheme="minorHAnsi"/>
      <w:b/>
      <w:bCs/>
      <w:kern w:val="28"/>
      <w:sz w:val="28"/>
      <w:szCs w:val="28"/>
    </w:rPr>
  </w:style>
  <w:style w:type="character" w:styleId="SubtleEmphasis">
    <w:name w:val="Subtle Emphasis"/>
    <w:aliases w:val="Body text"/>
    <w:uiPriority w:val="19"/>
    <w:qFormat/>
    <w:rsid w:val="00A00B5C"/>
    <w:rPr>
      <w:color w:val="000000" w:themeColor="text1"/>
      <w:szCs w:val="28"/>
    </w:rPr>
  </w:style>
  <w:style w:type="paragraph" w:styleId="Header">
    <w:name w:val="header"/>
    <w:basedOn w:val="Normal"/>
    <w:link w:val="HeaderChar"/>
    <w:uiPriority w:val="99"/>
    <w:unhideWhenUsed/>
    <w:rsid w:val="00C972D5"/>
    <w:pPr>
      <w:tabs>
        <w:tab w:val="center" w:pos="4513"/>
        <w:tab w:val="right" w:pos="9026"/>
      </w:tabs>
    </w:pPr>
  </w:style>
  <w:style w:type="character" w:customStyle="1" w:styleId="HeaderChar">
    <w:name w:val="Header Char"/>
    <w:basedOn w:val="DefaultParagraphFont"/>
    <w:link w:val="Header"/>
    <w:uiPriority w:val="99"/>
    <w:rsid w:val="00C972D5"/>
    <w:rPr>
      <w:rFonts w:ascii="Arial" w:eastAsia="Times New Roman" w:hAnsi="Arial" w:cs="Arial"/>
      <w:sz w:val="20"/>
      <w:szCs w:val="20"/>
      <w:lang w:eastAsia="en-AU"/>
    </w:rPr>
  </w:style>
  <w:style w:type="paragraph" w:styleId="Footer">
    <w:name w:val="footer"/>
    <w:basedOn w:val="Normal"/>
    <w:link w:val="FooterChar"/>
    <w:uiPriority w:val="99"/>
    <w:unhideWhenUsed/>
    <w:rsid w:val="00C972D5"/>
    <w:pPr>
      <w:tabs>
        <w:tab w:val="center" w:pos="4513"/>
        <w:tab w:val="right" w:pos="9026"/>
      </w:tabs>
    </w:pPr>
  </w:style>
  <w:style w:type="character" w:customStyle="1" w:styleId="FooterChar">
    <w:name w:val="Footer Char"/>
    <w:basedOn w:val="DefaultParagraphFont"/>
    <w:link w:val="Footer"/>
    <w:uiPriority w:val="99"/>
    <w:rsid w:val="00C972D5"/>
    <w:rPr>
      <w:rFonts w:ascii="Arial" w:eastAsia="Times New Roman" w:hAnsi="Arial" w:cs="Arial"/>
      <w:sz w:val="20"/>
      <w:szCs w:val="20"/>
      <w:lang w:eastAsia="en-AU"/>
    </w:rPr>
  </w:style>
  <w:style w:type="paragraph" w:styleId="BalloonText">
    <w:name w:val="Balloon Text"/>
    <w:basedOn w:val="Normal"/>
    <w:link w:val="BalloonTextChar"/>
    <w:uiPriority w:val="99"/>
    <w:semiHidden/>
    <w:unhideWhenUsed/>
    <w:rsid w:val="00C972D5"/>
    <w:rPr>
      <w:rFonts w:ascii="Tahoma" w:hAnsi="Tahoma" w:cs="Tahoma"/>
      <w:sz w:val="16"/>
      <w:szCs w:val="16"/>
    </w:rPr>
  </w:style>
  <w:style w:type="character" w:customStyle="1" w:styleId="BalloonTextChar">
    <w:name w:val="Balloon Text Char"/>
    <w:basedOn w:val="DefaultParagraphFont"/>
    <w:link w:val="BalloonText"/>
    <w:uiPriority w:val="99"/>
    <w:semiHidden/>
    <w:rsid w:val="00C972D5"/>
    <w:rPr>
      <w:rFonts w:ascii="Tahoma" w:eastAsia="Times New Roman" w:hAnsi="Tahoma" w:cs="Tahoma"/>
      <w:sz w:val="16"/>
      <w:szCs w:val="16"/>
      <w:lang w:eastAsia="en-AU"/>
    </w:rPr>
  </w:style>
  <w:style w:type="paragraph" w:styleId="ListParagraph">
    <w:name w:val="List Paragraph"/>
    <w:basedOn w:val="Normal"/>
    <w:link w:val="ListParagraphChar"/>
    <w:uiPriority w:val="34"/>
    <w:rsid w:val="00EE432B"/>
    <w:pPr>
      <w:ind w:left="720"/>
      <w:contextualSpacing/>
    </w:pPr>
  </w:style>
  <w:style w:type="paragraph" w:styleId="Title">
    <w:name w:val="Title"/>
    <w:basedOn w:val="Normal"/>
    <w:next w:val="Normal"/>
    <w:link w:val="TitleChar"/>
    <w:uiPriority w:val="10"/>
    <w:rsid w:val="0038115F"/>
    <w:pPr>
      <w:spacing w:after="300"/>
      <w:contextualSpacing/>
    </w:pPr>
    <w:rPr>
      <w:rFonts w:eastAsiaTheme="majorEastAsia"/>
      <w:b/>
      <w:color w:val="548DD4" w:themeColor="text2" w:themeTint="99"/>
      <w:spacing w:val="5"/>
      <w:kern w:val="28"/>
      <w:sz w:val="52"/>
      <w:szCs w:val="52"/>
    </w:rPr>
  </w:style>
  <w:style w:type="character" w:customStyle="1" w:styleId="TitleChar">
    <w:name w:val="Title Char"/>
    <w:basedOn w:val="DefaultParagraphFont"/>
    <w:link w:val="Title"/>
    <w:uiPriority w:val="10"/>
    <w:rsid w:val="0038115F"/>
    <w:rPr>
      <w:rFonts w:ascii="Arial" w:eastAsiaTheme="majorEastAsia" w:hAnsi="Arial" w:cs="Arial"/>
      <w:b/>
      <w:color w:val="548DD4" w:themeColor="text2" w:themeTint="99"/>
      <w:spacing w:val="5"/>
      <w:kern w:val="28"/>
      <w:sz w:val="52"/>
      <w:szCs w:val="52"/>
      <w:lang w:eastAsia="en-AU"/>
    </w:rPr>
  </w:style>
  <w:style w:type="character" w:customStyle="1" w:styleId="Heading1Char">
    <w:name w:val="Heading 1 Char"/>
    <w:basedOn w:val="DefaultParagraphFont"/>
    <w:link w:val="Heading1"/>
    <w:uiPriority w:val="9"/>
    <w:rsid w:val="001D1942"/>
    <w:rPr>
      <w:rFonts w:ascii="Arial" w:hAnsi="Arial" w:cs="Arial"/>
      <w:b/>
      <w:bCs/>
      <w:color w:val="005E79"/>
      <w:kern w:val="28"/>
      <w:sz w:val="36"/>
      <w:szCs w:val="28"/>
      <w:lang w:eastAsia="en-AU"/>
    </w:rPr>
  </w:style>
  <w:style w:type="character" w:customStyle="1" w:styleId="Heading2Char">
    <w:name w:val="Heading 2 Char"/>
    <w:basedOn w:val="DefaultParagraphFont"/>
    <w:link w:val="Heading2"/>
    <w:uiPriority w:val="9"/>
    <w:rsid w:val="00A00B5C"/>
    <w:rPr>
      <w:rFonts w:ascii="Arial" w:eastAsiaTheme="majorEastAsia" w:hAnsi="Arial" w:cs="Arial"/>
      <w:b/>
      <w:bCs/>
      <w:color w:val="005E79"/>
      <w:sz w:val="32"/>
      <w:szCs w:val="32"/>
      <w:lang w:eastAsia="en-AU"/>
    </w:rPr>
  </w:style>
  <w:style w:type="character" w:customStyle="1" w:styleId="Heading3Char">
    <w:name w:val="Heading 3 Char"/>
    <w:basedOn w:val="DefaultParagraphFont"/>
    <w:link w:val="Heading3"/>
    <w:uiPriority w:val="9"/>
    <w:rsid w:val="00A00B5C"/>
    <w:rPr>
      <w:rFonts w:ascii="Arial" w:eastAsia="Times New Roman" w:hAnsi="Arial" w:cs="Arial"/>
      <w:b/>
      <w:bCs/>
      <w:color w:val="005E79"/>
      <w:kern w:val="28"/>
      <w:sz w:val="28"/>
      <w:szCs w:val="28"/>
      <w:lang w:eastAsia="en-AU"/>
    </w:rPr>
  </w:style>
  <w:style w:type="character" w:customStyle="1" w:styleId="Heading4Char">
    <w:name w:val="Heading 4 Char"/>
    <w:basedOn w:val="DefaultParagraphFont"/>
    <w:link w:val="Heading4"/>
    <w:uiPriority w:val="9"/>
    <w:rsid w:val="00A00B5C"/>
    <w:rPr>
      <w:rFonts w:ascii="Arial" w:eastAsiaTheme="majorEastAsia" w:hAnsi="Arial" w:cstheme="majorBidi"/>
      <w:b/>
      <w:iCs/>
      <w:noProof/>
      <w:color w:val="005E79"/>
      <w:kern w:val="28"/>
      <w:sz w:val="24"/>
      <w:szCs w:val="28"/>
      <w:lang w:eastAsia="en-AU"/>
    </w:rPr>
  </w:style>
  <w:style w:type="paragraph" w:customStyle="1" w:styleId="1Bulletedfirstlevel">
    <w:name w:val="1. Bulleted (first level)"/>
    <w:basedOn w:val="Normal"/>
    <w:link w:val="1BulletedfirstlevelChar"/>
    <w:qFormat/>
    <w:rsid w:val="00465478"/>
    <w:pPr>
      <w:numPr>
        <w:numId w:val="1"/>
      </w:numPr>
      <w:ind w:left="1135" w:hanging="284"/>
    </w:pPr>
  </w:style>
  <w:style w:type="paragraph" w:customStyle="1" w:styleId="2Bulletedsecondlevel">
    <w:name w:val="2 Bulleted (second level)"/>
    <w:basedOn w:val="Normal"/>
    <w:qFormat/>
    <w:rsid w:val="0038115F"/>
    <w:pPr>
      <w:numPr>
        <w:ilvl w:val="1"/>
        <w:numId w:val="2"/>
      </w:numPr>
      <w:ind w:left="1418" w:right="680" w:hanging="284"/>
    </w:pPr>
  </w:style>
  <w:style w:type="character" w:customStyle="1" w:styleId="ListParagraphChar">
    <w:name w:val="List Paragraph Char"/>
    <w:basedOn w:val="DefaultParagraphFont"/>
    <w:link w:val="ListParagraph"/>
    <w:uiPriority w:val="34"/>
    <w:rsid w:val="0038115F"/>
    <w:rPr>
      <w:rFonts w:ascii="Arial" w:eastAsia="Times New Roman" w:hAnsi="Arial" w:cs="Arial"/>
      <w:sz w:val="24"/>
      <w:szCs w:val="20"/>
      <w:lang w:eastAsia="en-AU"/>
    </w:rPr>
  </w:style>
  <w:style w:type="character" w:customStyle="1" w:styleId="1BulletedfirstlevelChar">
    <w:name w:val="1. Bulleted (first level) Char"/>
    <w:basedOn w:val="ListParagraphChar"/>
    <w:link w:val="1Bulletedfirstlevel"/>
    <w:rsid w:val="00926520"/>
    <w:rPr>
      <w:rFonts w:ascii="Arial" w:eastAsia="Times New Roman" w:hAnsi="Arial" w:cs="Arial"/>
      <w:sz w:val="24"/>
      <w:szCs w:val="20"/>
      <w:lang w:eastAsia="en-AU"/>
    </w:rPr>
  </w:style>
  <w:style w:type="paragraph" w:customStyle="1" w:styleId="3oBulletedthirdlevel">
    <w:name w:val="3. o Bulleted (third level)"/>
    <w:basedOn w:val="Normal"/>
    <w:next w:val="1Bulletedfirstlevel"/>
    <w:qFormat/>
    <w:rsid w:val="0038115F"/>
    <w:pPr>
      <w:numPr>
        <w:ilvl w:val="1"/>
        <w:numId w:val="1"/>
      </w:numPr>
      <w:ind w:left="1702" w:hanging="284"/>
    </w:pPr>
  </w:style>
  <w:style w:type="table" w:styleId="TableGrid">
    <w:name w:val="Table Grid"/>
    <w:basedOn w:val="TableNormal"/>
    <w:uiPriority w:val="59"/>
    <w:rsid w:val="00E65D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itle">
    <w:name w:val="table title"/>
    <w:basedOn w:val="Heading3"/>
    <w:link w:val="tabletitleChar"/>
    <w:qFormat/>
    <w:rsid w:val="00CA5438"/>
    <w:pPr>
      <w:spacing w:before="40" w:after="40"/>
    </w:pPr>
  </w:style>
  <w:style w:type="paragraph" w:styleId="Subtitle">
    <w:name w:val="Subtitle"/>
    <w:basedOn w:val="Normal"/>
    <w:next w:val="Normal"/>
    <w:link w:val="SubtitleChar"/>
    <w:uiPriority w:val="11"/>
    <w:rsid w:val="00956C99"/>
    <w:pPr>
      <w:numPr>
        <w:ilvl w:val="1"/>
      </w:numPr>
      <w:ind w:left="851"/>
    </w:pPr>
    <w:rPr>
      <w:rFonts w:eastAsiaTheme="majorEastAsia" w:cstheme="majorBidi"/>
      <w:b/>
      <w:iCs/>
      <w:color w:val="005E79"/>
      <w:spacing w:val="15"/>
      <w:sz w:val="28"/>
      <w:szCs w:val="24"/>
    </w:rPr>
  </w:style>
  <w:style w:type="character" w:customStyle="1" w:styleId="tabletitleChar">
    <w:name w:val="table title Char"/>
    <w:basedOn w:val="Heading3Char"/>
    <w:link w:val="tabletitle"/>
    <w:rsid w:val="00CA5438"/>
    <w:rPr>
      <w:rFonts w:ascii="Arial" w:eastAsia="Times New Roman" w:hAnsi="Arial" w:cs="Arial"/>
      <w:b/>
      <w:bCs/>
      <w:color w:val="005E79"/>
      <w:kern w:val="28"/>
      <w:sz w:val="28"/>
      <w:szCs w:val="28"/>
      <w:lang w:eastAsia="en-AU"/>
    </w:rPr>
  </w:style>
  <w:style w:type="character" w:customStyle="1" w:styleId="SubtitleChar">
    <w:name w:val="Subtitle Char"/>
    <w:basedOn w:val="DefaultParagraphFont"/>
    <w:link w:val="Subtitle"/>
    <w:uiPriority w:val="11"/>
    <w:rsid w:val="00956C99"/>
    <w:rPr>
      <w:rFonts w:ascii="Arial" w:eastAsiaTheme="majorEastAsia" w:hAnsi="Arial" w:cstheme="majorBidi"/>
      <w:b/>
      <w:iCs/>
      <w:color w:val="005E79"/>
      <w:spacing w:val="15"/>
      <w:sz w:val="28"/>
      <w:szCs w:val="24"/>
      <w:lang w:eastAsia="en-AU"/>
    </w:rPr>
  </w:style>
  <w:style w:type="character" w:customStyle="1" w:styleId="Heading5Char">
    <w:name w:val="Heading 5 Char"/>
    <w:basedOn w:val="DefaultParagraphFont"/>
    <w:link w:val="Heading5"/>
    <w:uiPriority w:val="9"/>
    <w:rsid w:val="00A00B5C"/>
    <w:rPr>
      <w:rFonts w:ascii="Arial" w:eastAsiaTheme="majorEastAsia" w:hAnsi="Arial" w:cstheme="majorBidi"/>
      <w:b/>
      <w:iCs/>
      <w:noProof/>
      <w:color w:val="243F60" w:themeColor="accent1" w:themeShade="7F"/>
      <w:kern w:val="28"/>
      <w:sz w:val="24"/>
      <w:szCs w:val="28"/>
      <w:lang w:eastAsia="en-AU"/>
    </w:rPr>
  </w:style>
  <w:style w:type="character" w:styleId="Emphasis">
    <w:name w:val="Emphasis"/>
    <w:basedOn w:val="DefaultParagraphFont"/>
    <w:uiPriority w:val="20"/>
    <w:qFormat/>
    <w:rsid w:val="001975BE"/>
    <w:rPr>
      <w:rFonts w:ascii="Arial" w:hAnsi="Arial"/>
      <w:i/>
      <w:iCs/>
      <w:sz w:val="24"/>
    </w:rPr>
  </w:style>
  <w:style w:type="paragraph" w:customStyle="1" w:styleId="tabletext">
    <w:name w:val="table text"/>
    <w:basedOn w:val="Normal"/>
    <w:qFormat/>
    <w:rsid w:val="00465478"/>
    <w:pPr>
      <w:spacing w:before="40" w:after="40" w:line="240" w:lineRule="auto"/>
      <w:ind w:left="57" w:right="0"/>
    </w:pPr>
  </w:style>
  <w:style w:type="paragraph" w:styleId="Caption">
    <w:name w:val="caption"/>
    <w:basedOn w:val="Normal"/>
    <w:next w:val="Normal"/>
    <w:uiPriority w:val="35"/>
    <w:unhideWhenUsed/>
    <w:qFormat/>
    <w:rsid w:val="00C720D1"/>
    <w:pPr>
      <w:spacing w:after="200" w:line="240" w:lineRule="auto"/>
    </w:pPr>
    <w:rPr>
      <w:b/>
      <w:bCs/>
      <w:color w:val="005E79"/>
      <w:sz w:val="18"/>
      <w:szCs w:val="18"/>
    </w:rPr>
  </w:style>
  <w:style w:type="paragraph" w:customStyle="1" w:styleId="tableheading">
    <w:name w:val="table heading"/>
    <w:basedOn w:val="Heading2"/>
    <w:link w:val="tableheadingChar"/>
    <w:qFormat/>
    <w:rsid w:val="003D6FFE"/>
  </w:style>
  <w:style w:type="paragraph" w:customStyle="1" w:styleId="heading5a">
    <w:name w:val="heading 5a"/>
    <w:basedOn w:val="Normal"/>
    <w:link w:val="heading5aChar"/>
    <w:qFormat/>
    <w:rsid w:val="00EA6406"/>
    <w:pPr>
      <w:widowControl/>
      <w:autoSpaceDE/>
      <w:autoSpaceDN/>
      <w:adjustRightInd/>
      <w:spacing w:before="60" w:line="264" w:lineRule="auto"/>
      <w:ind w:left="0" w:right="0"/>
    </w:pPr>
    <w:rPr>
      <w:rFonts w:cs="Times New Roman"/>
      <w:b/>
      <w:szCs w:val="24"/>
      <w:lang w:val="en-US"/>
    </w:rPr>
  </w:style>
  <w:style w:type="character" w:customStyle="1" w:styleId="tableheadingChar">
    <w:name w:val="table heading Char"/>
    <w:basedOn w:val="Heading2Char"/>
    <w:link w:val="tableheading"/>
    <w:rsid w:val="003D6FFE"/>
    <w:rPr>
      <w:rFonts w:ascii="Arial" w:eastAsiaTheme="majorEastAsia" w:hAnsi="Arial" w:cs="Arial"/>
      <w:b/>
      <w:bCs/>
      <w:color w:val="005E79"/>
      <w:sz w:val="32"/>
      <w:szCs w:val="32"/>
      <w:lang w:eastAsia="en-AU"/>
    </w:rPr>
  </w:style>
  <w:style w:type="character" w:customStyle="1" w:styleId="heading5aChar">
    <w:name w:val="heading 5a Char"/>
    <w:basedOn w:val="DefaultParagraphFont"/>
    <w:link w:val="heading5a"/>
    <w:rsid w:val="00EA6406"/>
    <w:rPr>
      <w:rFonts w:ascii="Arial" w:eastAsia="Times New Roman" w:hAnsi="Arial" w:cs="Times New Roman"/>
      <w:b/>
      <w:sz w:val="24"/>
      <w:szCs w:val="24"/>
      <w:lang w:val="en-US" w:eastAsia="en-AU"/>
    </w:rPr>
  </w:style>
  <w:style w:type="paragraph" w:styleId="IntenseQuote">
    <w:name w:val="Intense Quote"/>
    <w:basedOn w:val="Normal"/>
    <w:next w:val="Normal"/>
    <w:link w:val="IntenseQuoteChar"/>
    <w:uiPriority w:val="30"/>
    <w:qFormat/>
    <w:rsid w:val="00A00B5C"/>
    <w:pPr>
      <w:pBdr>
        <w:bottom w:val="single" w:sz="4" w:space="4" w:color="4F81BD" w:themeColor="accent1"/>
      </w:pBdr>
      <w:spacing w:before="200" w:after="280"/>
      <w:ind w:left="936" w:right="936"/>
    </w:pPr>
    <w:rPr>
      <w:b/>
      <w:bCs/>
      <w:i/>
      <w:iCs/>
      <w:color w:val="005E79"/>
    </w:rPr>
  </w:style>
  <w:style w:type="character" w:customStyle="1" w:styleId="IntenseQuoteChar">
    <w:name w:val="Intense Quote Char"/>
    <w:basedOn w:val="DefaultParagraphFont"/>
    <w:link w:val="IntenseQuote"/>
    <w:uiPriority w:val="30"/>
    <w:rsid w:val="00A00B5C"/>
    <w:rPr>
      <w:rFonts w:ascii="Arial" w:eastAsia="Times New Roman" w:hAnsi="Arial" w:cs="Arial"/>
      <w:b/>
      <w:bCs/>
      <w:i/>
      <w:iCs/>
      <w:color w:val="005E79"/>
      <w:sz w:val="24"/>
      <w:szCs w:val="20"/>
      <w:lang w:eastAsia="en-AU"/>
    </w:rPr>
  </w:style>
  <w:style w:type="character" w:styleId="BookTitle">
    <w:name w:val="Book Title"/>
    <w:basedOn w:val="DefaultParagraphFont"/>
    <w:uiPriority w:val="33"/>
    <w:qFormat/>
    <w:rsid w:val="00C720D1"/>
    <w:rPr>
      <w:rFonts w:ascii="Arial" w:hAnsi="Arial"/>
      <w:b/>
      <w:bCs/>
      <w:smallCaps/>
      <w:spacing w:val="5"/>
      <w:sz w:val="24"/>
    </w:rPr>
  </w:style>
  <w:style w:type="paragraph" w:styleId="FootnoteText">
    <w:name w:val="footnote text"/>
    <w:basedOn w:val="Normal"/>
    <w:link w:val="FootnoteTextChar"/>
    <w:uiPriority w:val="99"/>
    <w:semiHidden/>
    <w:unhideWhenUsed/>
    <w:rsid w:val="008D2E57"/>
    <w:pPr>
      <w:spacing w:line="240" w:lineRule="auto"/>
    </w:pPr>
    <w:rPr>
      <w:sz w:val="20"/>
    </w:rPr>
  </w:style>
  <w:style w:type="character" w:customStyle="1" w:styleId="FootnoteTextChar">
    <w:name w:val="Footnote Text Char"/>
    <w:basedOn w:val="DefaultParagraphFont"/>
    <w:link w:val="FootnoteText"/>
    <w:uiPriority w:val="99"/>
    <w:semiHidden/>
    <w:rsid w:val="008D2E57"/>
    <w:rPr>
      <w:rFonts w:ascii="Arial" w:eastAsia="Times New Roman" w:hAnsi="Arial" w:cs="Arial"/>
      <w:sz w:val="20"/>
      <w:szCs w:val="20"/>
      <w:lang w:eastAsia="en-AU"/>
    </w:rPr>
  </w:style>
  <w:style w:type="character" w:styleId="FootnoteReference">
    <w:name w:val="footnote reference"/>
    <w:basedOn w:val="DefaultParagraphFont"/>
    <w:uiPriority w:val="99"/>
    <w:semiHidden/>
    <w:unhideWhenUsed/>
    <w:rsid w:val="008D2E57"/>
    <w:rPr>
      <w:vertAlign w:val="superscript"/>
    </w:rPr>
  </w:style>
  <w:style w:type="character" w:styleId="Hyperlink">
    <w:name w:val="Hyperlink"/>
    <w:basedOn w:val="DefaultParagraphFont"/>
    <w:uiPriority w:val="99"/>
    <w:unhideWhenUsed/>
    <w:rsid w:val="00015563"/>
    <w:rPr>
      <w:color w:val="0000FF" w:themeColor="hyperlink"/>
      <w:u w:val="single"/>
    </w:rPr>
  </w:style>
  <w:style w:type="character" w:styleId="CommentReference">
    <w:name w:val="annotation reference"/>
    <w:basedOn w:val="DefaultParagraphFont"/>
    <w:uiPriority w:val="99"/>
    <w:semiHidden/>
    <w:unhideWhenUsed/>
    <w:rsid w:val="00B969EA"/>
    <w:rPr>
      <w:sz w:val="16"/>
      <w:szCs w:val="16"/>
    </w:rPr>
  </w:style>
  <w:style w:type="paragraph" w:styleId="CommentText">
    <w:name w:val="annotation text"/>
    <w:basedOn w:val="Normal"/>
    <w:link w:val="CommentTextChar"/>
    <w:uiPriority w:val="99"/>
    <w:semiHidden/>
    <w:unhideWhenUsed/>
    <w:rsid w:val="00B969EA"/>
    <w:pPr>
      <w:spacing w:line="240" w:lineRule="auto"/>
    </w:pPr>
    <w:rPr>
      <w:sz w:val="20"/>
    </w:rPr>
  </w:style>
  <w:style w:type="character" w:customStyle="1" w:styleId="CommentTextChar">
    <w:name w:val="Comment Text Char"/>
    <w:basedOn w:val="DefaultParagraphFont"/>
    <w:link w:val="CommentText"/>
    <w:uiPriority w:val="99"/>
    <w:semiHidden/>
    <w:rsid w:val="00B969EA"/>
    <w:rPr>
      <w:rFonts w:ascii="Arial" w:eastAsia="Times New Roman" w:hAnsi="Arial" w:cs="Arial"/>
      <w:sz w:val="20"/>
      <w:szCs w:val="20"/>
      <w:lang w:eastAsia="en-AU"/>
    </w:rPr>
  </w:style>
  <w:style w:type="paragraph" w:styleId="CommentSubject">
    <w:name w:val="annotation subject"/>
    <w:basedOn w:val="CommentText"/>
    <w:next w:val="CommentText"/>
    <w:link w:val="CommentSubjectChar"/>
    <w:uiPriority w:val="99"/>
    <w:semiHidden/>
    <w:unhideWhenUsed/>
    <w:rsid w:val="00B969EA"/>
    <w:rPr>
      <w:b/>
      <w:bCs/>
    </w:rPr>
  </w:style>
  <w:style w:type="character" w:customStyle="1" w:styleId="CommentSubjectChar">
    <w:name w:val="Comment Subject Char"/>
    <w:basedOn w:val="CommentTextChar"/>
    <w:link w:val="CommentSubject"/>
    <w:uiPriority w:val="99"/>
    <w:semiHidden/>
    <w:rsid w:val="00B969EA"/>
    <w:rPr>
      <w:rFonts w:ascii="Arial" w:eastAsia="Times New Roman" w:hAnsi="Arial" w:cs="Arial"/>
      <w:b/>
      <w:bCs/>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158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ichael.carroll@dsc.wa.gov.a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charts/_rels/chart1.xml.rels><?xml version="1.0" encoding="UTF-8" standalone="yes"?>
<Relationships xmlns="http://schemas.openxmlformats.org/package/2006/relationships"><Relationship Id="rId1" Type="http://schemas.openxmlformats.org/officeDocument/2006/relationships/oleObject" Target="file:///C:\Users\MerissaV\Desktop\PIA\Disability%20Support%20Funding\130905%20Funding%20Bulletin%20combined%20information.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MerissaV\Desktop\PIA\Disability%20Support%20Funding\130905%20Funding%20Bulletin%20combined%20information.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MerissaV\Desktop\PIA\Disability%20Support%20Funding\130905%20Funding%20Bulletin%20combined%20informatio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percentStacked"/>
        <c:varyColors val="0"/>
        <c:ser>
          <c:idx val="0"/>
          <c:order val="0"/>
          <c:tx>
            <c:strRef>
              <c:f>People!$AP$26</c:f>
              <c:strCache>
                <c:ptCount val="1"/>
                <c:pt idx="0">
                  <c:v>CAP Funding</c:v>
                </c:pt>
              </c:strCache>
            </c:strRef>
          </c:tx>
          <c:spPr>
            <a:solidFill>
              <a:schemeClr val="accent1">
                <a:lumMod val="75000"/>
              </a:schemeClr>
            </a:solidFill>
            <a:ln>
              <a:solidFill>
                <a:schemeClr val="tx1"/>
              </a:solidFill>
            </a:ln>
          </c:spPr>
          <c:invertIfNegative val="0"/>
          <c:dLbls>
            <c:dLbl>
              <c:idx val="0"/>
              <c:layout>
                <c:manualLayout>
                  <c:x val="0"/>
                  <c:y val="-0.15367397623684129"/>
                </c:manualLayout>
              </c:layout>
              <c:showLegendKey val="0"/>
              <c:showVal val="1"/>
              <c:showCatName val="0"/>
              <c:showSerName val="0"/>
              <c:showPercent val="0"/>
              <c:showBubbleSize val="0"/>
            </c:dLbl>
            <c:dLbl>
              <c:idx val="1"/>
              <c:layout>
                <c:manualLayout>
                  <c:x val="0"/>
                  <c:y val="-0.15378573646036181"/>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People!$AO$27:$AO$28</c:f>
              <c:strCache>
                <c:ptCount val="2"/>
                <c:pt idx="0">
                  <c:v>Proportion of growth funding</c:v>
                </c:pt>
                <c:pt idx="1">
                  <c:v>Proportion of people</c:v>
                </c:pt>
              </c:strCache>
            </c:strRef>
          </c:cat>
          <c:val>
            <c:numRef>
              <c:f>People!$AP$27:$AP$28</c:f>
              <c:numCache>
                <c:formatCode>0.0%</c:formatCode>
                <c:ptCount val="2"/>
                <c:pt idx="0">
                  <c:v>0.6629213483146067</c:v>
                </c:pt>
                <c:pt idx="1">
                  <c:v>0.12482134349690328</c:v>
                </c:pt>
              </c:numCache>
            </c:numRef>
          </c:val>
        </c:ser>
        <c:ser>
          <c:idx val="1"/>
          <c:order val="1"/>
          <c:tx>
            <c:strRef>
              <c:f>People!$AQ$26</c:f>
              <c:strCache>
                <c:ptCount val="1"/>
                <c:pt idx="0">
                  <c:v>Community and Family Living</c:v>
                </c:pt>
              </c:strCache>
            </c:strRef>
          </c:tx>
          <c:spPr>
            <a:solidFill>
              <a:srgbClr val="9E4F00"/>
            </a:solidFill>
            <a:ln>
              <a:solidFill>
                <a:schemeClr val="tx1"/>
              </a:solidFill>
            </a:ln>
          </c:spPr>
          <c:invertIfNegative val="0"/>
          <c:dLbls>
            <c:dLbl>
              <c:idx val="0"/>
              <c:layout>
                <c:manualLayout>
                  <c:x val="-2.002002002002002E-3"/>
                  <c:y val="-0.1502015070696808"/>
                </c:manualLayout>
              </c:layout>
              <c:showLegendKey val="0"/>
              <c:showVal val="1"/>
              <c:showCatName val="0"/>
              <c:showSerName val="0"/>
              <c:showPercent val="0"/>
              <c:showBubbleSize val="0"/>
            </c:dLbl>
            <c:dLbl>
              <c:idx val="1"/>
              <c:layout>
                <c:manualLayout>
                  <c:x val="0"/>
                  <c:y val="-0.1502015070696808"/>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People!$AO$27:$AO$28</c:f>
              <c:strCache>
                <c:ptCount val="2"/>
                <c:pt idx="0">
                  <c:v>Proportion of growth funding</c:v>
                </c:pt>
                <c:pt idx="1">
                  <c:v>Proportion of people</c:v>
                </c:pt>
              </c:strCache>
            </c:strRef>
          </c:cat>
          <c:val>
            <c:numRef>
              <c:f>People!$AQ$27:$AQ$28</c:f>
              <c:numCache>
                <c:formatCode>0.0%</c:formatCode>
                <c:ptCount val="2"/>
                <c:pt idx="0">
                  <c:v>0.11797752808988764</c:v>
                </c:pt>
                <c:pt idx="1">
                  <c:v>0.11481657932348738</c:v>
                </c:pt>
              </c:numCache>
            </c:numRef>
          </c:val>
        </c:ser>
        <c:ser>
          <c:idx val="2"/>
          <c:order val="2"/>
          <c:tx>
            <c:strRef>
              <c:f>People!$AR$26</c:f>
              <c:strCache>
                <c:ptCount val="1"/>
                <c:pt idx="0">
                  <c:v>Local Area Resource funding and Post School Options</c:v>
                </c:pt>
              </c:strCache>
            </c:strRef>
          </c:tx>
          <c:spPr>
            <a:solidFill>
              <a:srgbClr val="EBE600"/>
            </a:solidFill>
            <a:ln>
              <a:solidFill>
                <a:schemeClr val="tx1"/>
              </a:solidFill>
            </a:ln>
          </c:spPr>
          <c:invertIfNegative val="0"/>
          <c:dLbls>
            <c:dLbl>
              <c:idx val="0"/>
              <c:layout>
                <c:manualLayout>
                  <c:x val="-4.004004004004004E-3"/>
                  <c:y val="-0.15378573646036181"/>
                </c:manualLayout>
              </c:layout>
              <c:showLegendKey val="0"/>
              <c:showVal val="1"/>
              <c:showCatName val="0"/>
              <c:showSerName val="0"/>
              <c:showPercent val="0"/>
              <c:showBubbleSize val="0"/>
            </c:dLbl>
            <c:dLbl>
              <c:idx val="1"/>
              <c:layout>
                <c:manualLayout>
                  <c:x val="7.3405892082277437E-17"/>
                  <c:y val="-0.1502015070696808"/>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People!$AO$27:$AO$28</c:f>
              <c:strCache>
                <c:ptCount val="2"/>
                <c:pt idx="0">
                  <c:v>Proportion of growth funding</c:v>
                </c:pt>
                <c:pt idx="1">
                  <c:v>Proportion of people</c:v>
                </c:pt>
              </c:strCache>
            </c:strRef>
          </c:cat>
          <c:val>
            <c:numRef>
              <c:f>People!$AR$27:$AR$28</c:f>
              <c:numCache>
                <c:formatCode>0.0%</c:formatCode>
                <c:ptCount val="2"/>
                <c:pt idx="0">
                  <c:v>0.21910112359550563</c:v>
                </c:pt>
                <c:pt idx="1">
                  <c:v>0.76036207717960935</c:v>
                </c:pt>
              </c:numCache>
            </c:numRef>
          </c:val>
        </c:ser>
        <c:dLbls>
          <c:showLegendKey val="0"/>
          <c:showVal val="1"/>
          <c:showCatName val="0"/>
          <c:showSerName val="0"/>
          <c:showPercent val="0"/>
          <c:showBubbleSize val="0"/>
        </c:dLbls>
        <c:gapWidth val="75"/>
        <c:overlap val="100"/>
        <c:axId val="152276352"/>
        <c:axId val="152286336"/>
      </c:barChart>
      <c:catAx>
        <c:axId val="152276352"/>
        <c:scaling>
          <c:orientation val="minMax"/>
        </c:scaling>
        <c:delete val="0"/>
        <c:axPos val="l"/>
        <c:majorTickMark val="none"/>
        <c:minorTickMark val="none"/>
        <c:tickLblPos val="nextTo"/>
        <c:crossAx val="152286336"/>
        <c:crosses val="autoZero"/>
        <c:auto val="1"/>
        <c:lblAlgn val="ctr"/>
        <c:lblOffset val="100"/>
        <c:noMultiLvlLbl val="0"/>
      </c:catAx>
      <c:valAx>
        <c:axId val="152286336"/>
        <c:scaling>
          <c:orientation val="minMax"/>
        </c:scaling>
        <c:delete val="0"/>
        <c:axPos val="b"/>
        <c:numFmt formatCode="0%" sourceLinked="1"/>
        <c:majorTickMark val="none"/>
        <c:minorTickMark val="none"/>
        <c:tickLblPos val="nextTo"/>
        <c:crossAx val="152276352"/>
        <c:crosses val="autoZero"/>
        <c:crossBetween val="between"/>
      </c:valAx>
    </c:plotArea>
    <c:plotVisOnly val="1"/>
    <c:dispBlanksAs val="gap"/>
    <c:showDLblsOverMax val="0"/>
  </c:chart>
  <c:spPr>
    <a:ln w="25400">
      <a:solidFill>
        <a:schemeClr val="tx2"/>
      </a:solidFill>
    </a:ln>
  </c:spPr>
  <c:txPr>
    <a:bodyPr/>
    <a:lstStyle/>
    <a:p>
      <a:pPr>
        <a:defRPr sz="1200">
          <a:latin typeface="Arial" pitchFamily="34" charset="0"/>
          <a:cs typeface="Arial" pitchFamily="34"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percentStacked"/>
        <c:varyColors val="0"/>
        <c:ser>
          <c:idx val="0"/>
          <c:order val="0"/>
          <c:tx>
            <c:strRef>
              <c:f>People!$B$126</c:f>
              <c:strCache>
                <c:ptCount val="1"/>
                <c:pt idx="0">
                  <c:v>Applications supported</c:v>
                </c:pt>
              </c:strCache>
            </c:strRef>
          </c:tx>
          <c:spPr>
            <a:solidFill>
              <a:schemeClr val="accent1">
                <a:lumMod val="75000"/>
              </a:schemeClr>
            </a:solidFill>
            <a:ln>
              <a:solidFill>
                <a:schemeClr val="tx1"/>
              </a:solidFill>
            </a:ln>
          </c:spPr>
          <c:invertIfNegative val="0"/>
          <c:dLbls>
            <c:dLbl>
              <c:idx val="0"/>
              <c:layout>
                <c:manualLayout>
                  <c:x val="0"/>
                  <c:y val="-5.4131054131054235E-2"/>
                </c:manualLayout>
              </c:layout>
              <c:tx>
                <c:rich>
                  <a:bodyPr/>
                  <a:lstStyle/>
                  <a:p>
                    <a:r>
                      <a:rPr lang="en-US"/>
                      <a:t>81.0%</a:t>
                    </a:r>
                  </a:p>
                </c:rich>
              </c:tx>
              <c:showLegendKey val="0"/>
              <c:showVal val="1"/>
              <c:showCatName val="0"/>
              <c:showSerName val="0"/>
              <c:showPercent val="0"/>
              <c:showBubbleSize val="0"/>
            </c:dLbl>
            <c:dLbl>
              <c:idx val="1"/>
              <c:layout>
                <c:manualLayout>
                  <c:x val="0"/>
                  <c:y val="-5.4131054131054131E-2"/>
                </c:manualLayout>
              </c:layout>
              <c:tx>
                <c:rich>
                  <a:bodyPr/>
                  <a:lstStyle/>
                  <a:p>
                    <a:r>
                      <a:rPr lang="en-US"/>
                      <a:t>33.5%</a:t>
                    </a:r>
                  </a:p>
                </c:rich>
              </c:tx>
              <c:showLegendKey val="0"/>
              <c:showVal val="1"/>
              <c:showCatName val="0"/>
              <c:showSerName val="0"/>
              <c:showPercent val="0"/>
              <c:showBubbleSize val="0"/>
            </c:dLbl>
            <c:dLbl>
              <c:idx val="2"/>
              <c:layout>
                <c:manualLayout>
                  <c:x val="7.0955477687658595E-17"/>
                  <c:y val="-5.6980056980056981E-2"/>
                </c:manualLayout>
              </c:layout>
              <c:tx>
                <c:rich>
                  <a:bodyPr/>
                  <a:lstStyle/>
                  <a:p>
                    <a:r>
                      <a:rPr lang="en-US"/>
                      <a:t>95.0%</a:t>
                    </a:r>
                  </a:p>
                </c:rich>
              </c:tx>
              <c:showLegendKey val="0"/>
              <c:showVal val="1"/>
              <c:showCatName val="0"/>
              <c:showSerName val="0"/>
              <c:showPercent val="0"/>
              <c:showBubbleSize val="0"/>
            </c:dLbl>
            <c:dLbl>
              <c:idx val="3"/>
              <c:layout>
                <c:manualLayout>
                  <c:x val="0"/>
                  <c:y val="-5.4131054131054131E-2"/>
                </c:manualLayout>
              </c:layout>
              <c:tx>
                <c:rich>
                  <a:bodyPr/>
                  <a:lstStyle/>
                  <a:p>
                    <a:r>
                      <a:rPr lang="en-US"/>
                      <a:t>98.6%</a:t>
                    </a:r>
                  </a:p>
                </c:rich>
              </c:tx>
              <c:showLegendKey val="0"/>
              <c:showVal val="1"/>
              <c:showCatName val="0"/>
              <c:showSerName val="0"/>
              <c:showPercent val="0"/>
              <c:showBubbleSize val="0"/>
            </c:dLbl>
            <c:dLbl>
              <c:idx val="4"/>
              <c:layout>
                <c:manualLayout>
                  <c:x val="0"/>
                  <c:y val="-5.4131054131054131E-2"/>
                </c:manualLayout>
              </c:layout>
              <c:tx>
                <c:rich>
                  <a:bodyPr/>
                  <a:lstStyle/>
                  <a:p>
                    <a:r>
                      <a:rPr lang="en-US"/>
                      <a:t>15.8%</a:t>
                    </a:r>
                  </a:p>
                </c:rich>
              </c:tx>
              <c:showLegendKey val="0"/>
              <c:showVal val="1"/>
              <c:showCatName val="0"/>
              <c:showSerName val="0"/>
              <c:showPercent val="0"/>
              <c:showBubbleSize val="0"/>
            </c:dLbl>
            <c:dLbl>
              <c:idx val="5"/>
              <c:layout>
                <c:manualLayout>
                  <c:x val="-7.7406869859700045E-3"/>
                  <c:y val="-5.4131054131054131E-2"/>
                </c:manualLayout>
              </c:layout>
              <c:tx>
                <c:rich>
                  <a:bodyPr/>
                  <a:lstStyle/>
                  <a:p>
                    <a:r>
                      <a:rPr lang="en-US"/>
                      <a:t>14.1%</a:t>
                    </a:r>
                  </a:p>
                </c:rich>
              </c:tx>
              <c:showLegendKey val="0"/>
              <c:showVal val="1"/>
              <c:showCatName val="0"/>
              <c:showSerName val="0"/>
              <c:showPercent val="0"/>
              <c:showBubbleSize val="0"/>
            </c:dLbl>
            <c:dLbl>
              <c:idx val="6"/>
              <c:layout>
                <c:manualLayout>
                  <c:x val="0"/>
                  <c:y val="-5.4131054131054131E-2"/>
                </c:manualLayout>
              </c:layout>
              <c:tx>
                <c:rich>
                  <a:bodyPr/>
                  <a:lstStyle/>
                  <a:p>
                    <a:r>
                      <a:rPr lang="en-US"/>
                      <a:t>39.4%</a:t>
                    </a:r>
                  </a:p>
                </c:rich>
              </c:tx>
              <c:showLegendKey val="0"/>
              <c:showVal val="1"/>
              <c:showCatName val="0"/>
              <c:showSerName val="0"/>
              <c:showPercent val="0"/>
              <c:showBubbleSize val="0"/>
            </c:dLbl>
            <c:showLegendKey val="0"/>
            <c:showVal val="1"/>
            <c:showCatName val="0"/>
            <c:showSerName val="0"/>
            <c:showPercent val="0"/>
            <c:showBubbleSize val="0"/>
            <c:showLeaderLines val="0"/>
          </c:dLbls>
          <c:cat>
            <c:strRef>
              <c:f>People!$A$127:$A$133</c:f>
              <c:strCache>
                <c:ptCount val="7"/>
                <c:pt idx="0">
                  <c:v>Post School Options</c:v>
                </c:pt>
                <c:pt idx="1">
                  <c:v>Intensive Family Support</c:v>
                </c:pt>
                <c:pt idx="2">
                  <c:v>Family Living Initiative</c:v>
                </c:pt>
                <c:pt idx="3">
                  <c:v>Community Living Initiative</c:v>
                </c:pt>
                <c:pt idx="4">
                  <c:v>Alternatives to Employment</c:v>
                </c:pt>
                <c:pt idx="5">
                  <c:v>Accommodation Support</c:v>
                </c:pt>
                <c:pt idx="6">
                  <c:v>All individualised funding</c:v>
                </c:pt>
              </c:strCache>
            </c:strRef>
          </c:cat>
          <c:val>
            <c:numRef>
              <c:f>People!$B$127:$B$133</c:f>
              <c:numCache>
                <c:formatCode>General</c:formatCode>
                <c:ptCount val="7"/>
                <c:pt idx="0">
                  <c:v>248</c:v>
                </c:pt>
                <c:pt idx="1">
                  <c:v>112</c:v>
                </c:pt>
                <c:pt idx="2">
                  <c:v>170</c:v>
                </c:pt>
                <c:pt idx="3">
                  <c:v>71</c:v>
                </c:pt>
                <c:pt idx="4">
                  <c:v>63</c:v>
                </c:pt>
                <c:pt idx="5">
                  <c:v>87</c:v>
                </c:pt>
                <c:pt idx="6">
                  <c:v>751</c:v>
                </c:pt>
              </c:numCache>
            </c:numRef>
          </c:val>
        </c:ser>
        <c:ser>
          <c:idx val="1"/>
          <c:order val="1"/>
          <c:tx>
            <c:strRef>
              <c:f>People!$D$126</c:f>
              <c:strCache>
                <c:ptCount val="1"/>
                <c:pt idx="0">
                  <c:v>Funding increased for changed needs</c:v>
                </c:pt>
              </c:strCache>
            </c:strRef>
          </c:tx>
          <c:spPr>
            <a:solidFill>
              <a:srgbClr val="EBE600"/>
            </a:solidFill>
            <a:ln>
              <a:solidFill>
                <a:schemeClr val="tx1"/>
              </a:solidFill>
            </a:ln>
          </c:spPr>
          <c:invertIfNegative val="0"/>
          <c:dLbls>
            <c:dLbl>
              <c:idx val="1"/>
              <c:layout>
                <c:manualLayout>
                  <c:x val="0"/>
                  <c:y val="-5.6980056980056981E-2"/>
                </c:manualLayout>
              </c:layout>
              <c:tx>
                <c:rich>
                  <a:bodyPr/>
                  <a:lstStyle/>
                  <a:p>
                    <a:r>
                      <a:rPr lang="en-US"/>
                      <a:t>6.0%</a:t>
                    </a:r>
                  </a:p>
                </c:rich>
              </c:tx>
              <c:showLegendKey val="0"/>
              <c:showVal val="1"/>
              <c:showCatName val="0"/>
              <c:showSerName val="0"/>
              <c:showPercent val="0"/>
              <c:showBubbleSize val="0"/>
            </c:dLbl>
            <c:dLbl>
              <c:idx val="5"/>
              <c:layout>
                <c:manualLayout>
                  <c:x val="9.6758587324625063E-3"/>
                  <c:y val="-5.4131054131054131E-2"/>
                </c:manualLayout>
              </c:layout>
              <c:tx>
                <c:rich>
                  <a:bodyPr/>
                  <a:lstStyle/>
                  <a:p>
                    <a:r>
                      <a:rPr lang="en-US"/>
                      <a:t>2.0%</a:t>
                    </a:r>
                  </a:p>
                </c:rich>
              </c:tx>
              <c:showLegendKey val="0"/>
              <c:showVal val="1"/>
              <c:showCatName val="0"/>
              <c:showSerName val="0"/>
              <c:showPercent val="0"/>
              <c:showBubbleSize val="0"/>
            </c:dLbl>
            <c:dLbl>
              <c:idx val="6"/>
              <c:layout>
                <c:manualLayout>
                  <c:x val="1.9350193707644309E-3"/>
                  <c:y val="-5.6980056980056981E-2"/>
                </c:manualLayout>
              </c:layout>
              <c:tx>
                <c:rich>
                  <a:bodyPr/>
                  <a:lstStyle/>
                  <a:p>
                    <a:r>
                      <a:rPr lang="en-US"/>
                      <a:t>1.7%</a:t>
                    </a:r>
                  </a:p>
                </c:rich>
              </c:tx>
              <c:showLegendKey val="0"/>
              <c:showVal val="1"/>
              <c:showCatName val="0"/>
              <c:showSerName val="0"/>
              <c:showPercent val="0"/>
              <c:showBubbleSize val="0"/>
            </c:dLbl>
            <c:showLegendKey val="0"/>
            <c:showVal val="1"/>
            <c:showCatName val="0"/>
            <c:showSerName val="0"/>
            <c:showPercent val="0"/>
            <c:showBubbleSize val="0"/>
            <c:showLeaderLines val="0"/>
          </c:dLbls>
          <c:cat>
            <c:strRef>
              <c:f>People!$A$127:$A$133</c:f>
              <c:strCache>
                <c:ptCount val="7"/>
                <c:pt idx="0">
                  <c:v>Post School Options</c:v>
                </c:pt>
                <c:pt idx="1">
                  <c:v>Intensive Family Support</c:v>
                </c:pt>
                <c:pt idx="2">
                  <c:v>Family Living Initiative</c:v>
                </c:pt>
                <c:pt idx="3">
                  <c:v>Community Living Initiative</c:v>
                </c:pt>
                <c:pt idx="4">
                  <c:v>Alternatives to Employment</c:v>
                </c:pt>
                <c:pt idx="5">
                  <c:v>Accommodation Support</c:v>
                </c:pt>
                <c:pt idx="6">
                  <c:v>All individualised funding</c:v>
                </c:pt>
              </c:strCache>
            </c:strRef>
          </c:cat>
          <c:val>
            <c:numRef>
              <c:f>People!$D$127:$D$133</c:f>
              <c:numCache>
                <c:formatCode>General</c:formatCode>
                <c:ptCount val="7"/>
                <c:pt idx="1">
                  <c:v>20</c:v>
                </c:pt>
                <c:pt idx="5">
                  <c:v>12</c:v>
                </c:pt>
                <c:pt idx="6">
                  <c:v>32</c:v>
                </c:pt>
              </c:numCache>
            </c:numRef>
          </c:val>
        </c:ser>
        <c:ser>
          <c:idx val="2"/>
          <c:order val="2"/>
          <c:tx>
            <c:strRef>
              <c:f>People!$F$126</c:f>
              <c:strCache>
                <c:ptCount val="1"/>
                <c:pt idx="0">
                  <c:v>Applications not supported without other Commission funding</c:v>
                </c:pt>
              </c:strCache>
            </c:strRef>
          </c:tx>
          <c:spPr>
            <a:solidFill>
              <a:srgbClr val="92D050"/>
            </a:solidFill>
            <a:ln>
              <a:solidFill>
                <a:schemeClr val="tx1"/>
              </a:solidFill>
            </a:ln>
          </c:spPr>
          <c:invertIfNegative val="0"/>
          <c:dLbls>
            <c:dLbl>
              <c:idx val="0"/>
              <c:layout>
                <c:manualLayout>
                  <c:x val="0"/>
                  <c:y val="-5.4131054131054235E-2"/>
                </c:manualLayout>
              </c:layout>
              <c:tx>
                <c:rich>
                  <a:bodyPr/>
                  <a:lstStyle/>
                  <a:p>
                    <a:r>
                      <a:rPr lang="en-US"/>
                      <a:t>19.0%</a:t>
                    </a:r>
                  </a:p>
                </c:rich>
              </c:tx>
              <c:showLegendKey val="0"/>
              <c:showVal val="1"/>
              <c:showCatName val="0"/>
              <c:showSerName val="0"/>
              <c:showPercent val="0"/>
              <c:showBubbleSize val="0"/>
            </c:dLbl>
            <c:dLbl>
              <c:idx val="1"/>
              <c:layout>
                <c:manualLayout>
                  <c:x val="0"/>
                  <c:y val="-5.4131054131054131E-2"/>
                </c:manualLayout>
              </c:layout>
              <c:tx>
                <c:rich>
                  <a:bodyPr/>
                  <a:lstStyle/>
                  <a:p>
                    <a:r>
                      <a:rPr lang="en-US"/>
                      <a:t>32.3%</a:t>
                    </a:r>
                  </a:p>
                </c:rich>
              </c:tx>
              <c:showLegendKey val="0"/>
              <c:showVal val="1"/>
              <c:showCatName val="0"/>
              <c:showSerName val="0"/>
              <c:showPercent val="0"/>
              <c:showBubbleSize val="0"/>
            </c:dLbl>
            <c:dLbl>
              <c:idx val="2"/>
              <c:layout>
                <c:manualLayout>
                  <c:x val="1.9351717464925011E-3"/>
                  <c:y val="-5.4131054131054131E-2"/>
                </c:manualLayout>
              </c:layout>
              <c:tx>
                <c:rich>
                  <a:bodyPr/>
                  <a:lstStyle/>
                  <a:p>
                    <a:r>
                      <a:rPr lang="en-US"/>
                      <a:t>5.0%</a:t>
                    </a:r>
                  </a:p>
                </c:rich>
              </c:tx>
              <c:showLegendKey val="0"/>
              <c:showVal val="1"/>
              <c:showCatName val="0"/>
              <c:showSerName val="0"/>
              <c:showPercent val="0"/>
              <c:showBubbleSize val="0"/>
            </c:dLbl>
            <c:dLbl>
              <c:idx val="3"/>
              <c:layout>
                <c:manualLayout>
                  <c:x val="0"/>
                  <c:y val="-5.128205128205128E-2"/>
                </c:manualLayout>
              </c:layout>
              <c:tx>
                <c:rich>
                  <a:bodyPr/>
                  <a:lstStyle/>
                  <a:p>
                    <a:r>
                      <a:rPr lang="en-US"/>
                      <a:t>1.4%</a:t>
                    </a:r>
                  </a:p>
                </c:rich>
              </c:tx>
              <c:showLegendKey val="0"/>
              <c:showVal val="1"/>
              <c:showCatName val="0"/>
              <c:showSerName val="0"/>
              <c:showPercent val="0"/>
              <c:showBubbleSize val="0"/>
            </c:dLbl>
            <c:dLbl>
              <c:idx val="4"/>
              <c:layout>
                <c:manualLayout>
                  <c:x val="7.0955477687658595E-17"/>
                  <c:y val="-5.6980056980056981E-2"/>
                </c:manualLayout>
              </c:layout>
              <c:tx>
                <c:rich>
                  <a:bodyPr/>
                  <a:lstStyle/>
                  <a:p>
                    <a:r>
                      <a:rPr lang="en-US"/>
                      <a:t>42.5%</a:t>
                    </a:r>
                  </a:p>
                </c:rich>
              </c:tx>
              <c:showLegendKey val="0"/>
              <c:showVal val="1"/>
              <c:showCatName val="0"/>
              <c:showSerName val="0"/>
              <c:showPercent val="0"/>
              <c:showBubbleSize val="0"/>
            </c:dLbl>
            <c:dLbl>
              <c:idx val="5"/>
              <c:layout>
                <c:manualLayout>
                  <c:x val="7.0955477687658595E-17"/>
                  <c:y val="-5.6980056980056981E-2"/>
                </c:manualLayout>
              </c:layout>
              <c:tx>
                <c:rich>
                  <a:bodyPr/>
                  <a:lstStyle/>
                  <a:p>
                    <a:r>
                      <a:rPr lang="en-US"/>
                      <a:t>55.1%</a:t>
                    </a:r>
                  </a:p>
                </c:rich>
              </c:tx>
              <c:showLegendKey val="0"/>
              <c:showVal val="1"/>
              <c:showCatName val="0"/>
              <c:showSerName val="0"/>
              <c:showPercent val="0"/>
              <c:showBubbleSize val="0"/>
            </c:dLbl>
            <c:dLbl>
              <c:idx val="6"/>
              <c:layout>
                <c:manualLayout>
                  <c:x val="0"/>
                  <c:y val="-5.4131054131054131E-2"/>
                </c:manualLayout>
              </c:layout>
              <c:tx>
                <c:rich>
                  <a:bodyPr/>
                  <a:lstStyle/>
                  <a:p>
                    <a:r>
                      <a:rPr lang="en-US"/>
                      <a:t>35.9%</a:t>
                    </a:r>
                  </a:p>
                </c:rich>
              </c:tx>
              <c:showLegendKey val="0"/>
              <c:showVal val="1"/>
              <c:showCatName val="0"/>
              <c:showSerName val="0"/>
              <c:showPercent val="0"/>
              <c:showBubbleSize val="0"/>
            </c:dLbl>
            <c:showLegendKey val="0"/>
            <c:showVal val="1"/>
            <c:showCatName val="0"/>
            <c:showSerName val="0"/>
            <c:showPercent val="0"/>
            <c:showBubbleSize val="0"/>
            <c:showLeaderLines val="0"/>
          </c:dLbls>
          <c:cat>
            <c:strRef>
              <c:f>People!$A$127:$A$133</c:f>
              <c:strCache>
                <c:ptCount val="7"/>
                <c:pt idx="0">
                  <c:v>Post School Options</c:v>
                </c:pt>
                <c:pt idx="1">
                  <c:v>Intensive Family Support</c:v>
                </c:pt>
                <c:pt idx="2">
                  <c:v>Family Living Initiative</c:v>
                </c:pt>
                <c:pt idx="3">
                  <c:v>Community Living Initiative</c:v>
                </c:pt>
                <c:pt idx="4">
                  <c:v>Alternatives to Employment</c:v>
                </c:pt>
                <c:pt idx="5">
                  <c:v>Accommodation Support</c:v>
                </c:pt>
                <c:pt idx="6">
                  <c:v>All individualised funding</c:v>
                </c:pt>
              </c:strCache>
            </c:strRef>
          </c:cat>
          <c:val>
            <c:numRef>
              <c:f>People!$F$127:$F$133</c:f>
              <c:numCache>
                <c:formatCode>General</c:formatCode>
                <c:ptCount val="7"/>
                <c:pt idx="0">
                  <c:v>58</c:v>
                </c:pt>
                <c:pt idx="1">
                  <c:v>108</c:v>
                </c:pt>
                <c:pt idx="2">
                  <c:v>9</c:v>
                </c:pt>
                <c:pt idx="3">
                  <c:v>1</c:v>
                </c:pt>
                <c:pt idx="4">
                  <c:v>170</c:v>
                </c:pt>
                <c:pt idx="5">
                  <c:v>339</c:v>
                </c:pt>
                <c:pt idx="6">
                  <c:v>685</c:v>
                </c:pt>
              </c:numCache>
            </c:numRef>
          </c:val>
        </c:ser>
        <c:ser>
          <c:idx val="3"/>
          <c:order val="3"/>
          <c:tx>
            <c:strRef>
              <c:f>People!$H$126</c:f>
              <c:strCache>
                <c:ptCount val="1"/>
                <c:pt idx="0">
                  <c:v>Applications not supported with other Commission funding</c:v>
                </c:pt>
              </c:strCache>
            </c:strRef>
          </c:tx>
          <c:spPr>
            <a:solidFill>
              <a:schemeClr val="accent6">
                <a:lumMod val="75000"/>
              </a:schemeClr>
            </a:solidFill>
            <a:ln>
              <a:solidFill>
                <a:schemeClr val="tx1"/>
              </a:solidFill>
            </a:ln>
          </c:spPr>
          <c:invertIfNegative val="0"/>
          <c:dLbls>
            <c:dLbl>
              <c:idx val="1"/>
              <c:layout>
                <c:manualLayout>
                  <c:x val="0"/>
                  <c:y val="-5.6980056980056981E-2"/>
                </c:manualLayout>
              </c:layout>
              <c:tx>
                <c:rich>
                  <a:bodyPr/>
                  <a:lstStyle/>
                  <a:p>
                    <a:r>
                      <a:rPr lang="en-US"/>
                      <a:t>28.2%</a:t>
                    </a:r>
                  </a:p>
                </c:rich>
              </c:tx>
              <c:showLegendKey val="0"/>
              <c:showVal val="1"/>
              <c:showCatName val="0"/>
              <c:showSerName val="0"/>
              <c:showPercent val="0"/>
              <c:showBubbleSize val="0"/>
            </c:dLbl>
            <c:dLbl>
              <c:idx val="4"/>
              <c:layout>
                <c:manualLayout>
                  <c:x val="0"/>
                  <c:y val="-5.6980056980056981E-2"/>
                </c:manualLayout>
              </c:layout>
              <c:tx>
                <c:rich>
                  <a:bodyPr/>
                  <a:lstStyle/>
                  <a:p>
                    <a:r>
                      <a:rPr lang="en-US"/>
                      <a:t>41.7%</a:t>
                    </a:r>
                  </a:p>
                </c:rich>
              </c:tx>
              <c:showLegendKey val="0"/>
              <c:showVal val="1"/>
              <c:showCatName val="0"/>
              <c:showSerName val="0"/>
              <c:showPercent val="0"/>
              <c:showBubbleSize val="0"/>
            </c:dLbl>
            <c:dLbl>
              <c:idx val="5"/>
              <c:layout>
                <c:manualLayout>
                  <c:x val="0"/>
                  <c:y val="-5.6980056980056981E-2"/>
                </c:manualLayout>
              </c:layout>
              <c:tx>
                <c:rich>
                  <a:bodyPr/>
                  <a:lstStyle/>
                  <a:p>
                    <a:r>
                      <a:rPr lang="en-US"/>
                      <a:t>28.8%</a:t>
                    </a:r>
                  </a:p>
                </c:rich>
              </c:tx>
              <c:showLegendKey val="0"/>
              <c:showVal val="1"/>
              <c:showCatName val="0"/>
              <c:showSerName val="0"/>
              <c:showPercent val="0"/>
              <c:showBubbleSize val="0"/>
            </c:dLbl>
            <c:dLbl>
              <c:idx val="6"/>
              <c:layout>
                <c:manualLayout>
                  <c:x val="0"/>
                  <c:y val="-5.128205128205128E-2"/>
                </c:manualLayout>
              </c:layout>
              <c:tx>
                <c:rich>
                  <a:bodyPr/>
                  <a:lstStyle/>
                  <a:p>
                    <a:r>
                      <a:rPr lang="en-US"/>
                      <a:t>23.0%</a:t>
                    </a:r>
                  </a:p>
                </c:rich>
              </c:tx>
              <c:showLegendKey val="0"/>
              <c:showVal val="1"/>
              <c:showCatName val="0"/>
              <c:showSerName val="0"/>
              <c:showPercent val="0"/>
              <c:showBubbleSize val="0"/>
            </c:dLbl>
            <c:showLegendKey val="0"/>
            <c:showVal val="1"/>
            <c:showCatName val="0"/>
            <c:showSerName val="0"/>
            <c:showPercent val="0"/>
            <c:showBubbleSize val="0"/>
            <c:showLeaderLines val="0"/>
          </c:dLbls>
          <c:cat>
            <c:strRef>
              <c:f>People!$A$127:$A$133</c:f>
              <c:strCache>
                <c:ptCount val="7"/>
                <c:pt idx="0">
                  <c:v>Post School Options</c:v>
                </c:pt>
                <c:pt idx="1">
                  <c:v>Intensive Family Support</c:v>
                </c:pt>
                <c:pt idx="2">
                  <c:v>Family Living Initiative</c:v>
                </c:pt>
                <c:pt idx="3">
                  <c:v>Community Living Initiative</c:v>
                </c:pt>
                <c:pt idx="4">
                  <c:v>Alternatives to Employment</c:v>
                </c:pt>
                <c:pt idx="5">
                  <c:v>Accommodation Support</c:v>
                </c:pt>
                <c:pt idx="6">
                  <c:v>All individualised funding</c:v>
                </c:pt>
              </c:strCache>
            </c:strRef>
          </c:cat>
          <c:val>
            <c:numRef>
              <c:f>People!$H$127:$H$133</c:f>
              <c:numCache>
                <c:formatCode>General</c:formatCode>
                <c:ptCount val="7"/>
                <c:pt idx="1">
                  <c:v>94</c:v>
                </c:pt>
                <c:pt idx="4">
                  <c:v>167</c:v>
                </c:pt>
                <c:pt idx="5">
                  <c:v>177</c:v>
                </c:pt>
                <c:pt idx="6">
                  <c:v>438</c:v>
                </c:pt>
              </c:numCache>
            </c:numRef>
          </c:val>
        </c:ser>
        <c:dLbls>
          <c:showLegendKey val="0"/>
          <c:showVal val="0"/>
          <c:showCatName val="0"/>
          <c:showSerName val="0"/>
          <c:showPercent val="0"/>
          <c:showBubbleSize val="0"/>
        </c:dLbls>
        <c:gapWidth val="96"/>
        <c:overlap val="100"/>
        <c:axId val="153777280"/>
        <c:axId val="153778816"/>
      </c:barChart>
      <c:catAx>
        <c:axId val="153777280"/>
        <c:scaling>
          <c:orientation val="minMax"/>
        </c:scaling>
        <c:delete val="0"/>
        <c:axPos val="l"/>
        <c:majorTickMark val="out"/>
        <c:minorTickMark val="none"/>
        <c:tickLblPos val="nextTo"/>
        <c:txPr>
          <a:bodyPr anchor="t" anchorCtr="0"/>
          <a:lstStyle/>
          <a:p>
            <a:pPr>
              <a:defRPr b="1"/>
            </a:pPr>
            <a:endParaRPr lang="en-US"/>
          </a:p>
        </c:txPr>
        <c:crossAx val="153778816"/>
        <c:crosses val="autoZero"/>
        <c:auto val="1"/>
        <c:lblAlgn val="ctr"/>
        <c:lblOffset val="100"/>
        <c:noMultiLvlLbl val="0"/>
      </c:catAx>
      <c:valAx>
        <c:axId val="153778816"/>
        <c:scaling>
          <c:orientation val="minMax"/>
        </c:scaling>
        <c:delete val="0"/>
        <c:axPos val="b"/>
        <c:numFmt formatCode="0%" sourceLinked="0"/>
        <c:majorTickMark val="out"/>
        <c:minorTickMark val="none"/>
        <c:tickLblPos val="nextTo"/>
        <c:crossAx val="153777280"/>
        <c:crosses val="autoZero"/>
        <c:crossBetween val="between"/>
      </c:valAx>
    </c:plotArea>
    <c:plotVisOnly val="1"/>
    <c:dispBlanksAs val="gap"/>
    <c:showDLblsOverMax val="0"/>
  </c:chart>
  <c:spPr>
    <a:ln w="25400">
      <a:solidFill>
        <a:schemeClr val="tx2"/>
      </a:solidFill>
    </a:ln>
  </c:spPr>
  <c:txPr>
    <a:bodyPr/>
    <a:lstStyle/>
    <a:p>
      <a:pPr>
        <a:defRPr sz="1200">
          <a:latin typeface="Arial" pitchFamily="34" charset="0"/>
          <a:cs typeface="Arial" pitchFamily="34" charset="0"/>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'CAP age and gender'!$S$5</c:f>
              <c:strCache>
                <c:ptCount val="1"/>
                <c:pt idx="0">
                  <c:v>IFS</c:v>
                </c:pt>
              </c:strCache>
            </c:strRef>
          </c:tx>
          <c:spPr>
            <a:solidFill>
              <a:srgbClr val="EBE600"/>
            </a:solidFill>
            <a:ln>
              <a:solidFill>
                <a:schemeClr val="tx1"/>
              </a:solidFill>
            </a:ln>
          </c:spPr>
          <c:invertIfNegative val="0"/>
          <c:cat>
            <c:strRef>
              <c:f>'CAP age and gender'!$T$3:$Z$3</c:f>
              <c:strCache>
                <c:ptCount val="7"/>
                <c:pt idx="0">
                  <c:v>0-9</c:v>
                </c:pt>
                <c:pt idx="1">
                  <c:v>10-19</c:v>
                </c:pt>
                <c:pt idx="2">
                  <c:v>20-29</c:v>
                </c:pt>
                <c:pt idx="3">
                  <c:v>30-39</c:v>
                </c:pt>
                <c:pt idx="4">
                  <c:v>40-49</c:v>
                </c:pt>
                <c:pt idx="5">
                  <c:v>50-59</c:v>
                </c:pt>
                <c:pt idx="6">
                  <c:v>60+</c:v>
                </c:pt>
              </c:strCache>
            </c:strRef>
          </c:cat>
          <c:val>
            <c:numRef>
              <c:f>'CAP age and gender'!$T$5:$Z$5</c:f>
              <c:numCache>
                <c:formatCode>0.00%</c:formatCode>
                <c:ptCount val="7"/>
                <c:pt idx="0">
                  <c:v>0.22388059701492538</c:v>
                </c:pt>
                <c:pt idx="1">
                  <c:v>0.4925373134328358</c:v>
                </c:pt>
                <c:pt idx="2">
                  <c:v>0.13432835820895522</c:v>
                </c:pt>
                <c:pt idx="3">
                  <c:v>5.2238805970149252E-2</c:v>
                </c:pt>
                <c:pt idx="4">
                  <c:v>3.7313432835820892E-2</c:v>
                </c:pt>
                <c:pt idx="5">
                  <c:v>5.2238805970149252E-2</c:v>
                </c:pt>
                <c:pt idx="6">
                  <c:v>7.462686567164179E-3</c:v>
                </c:pt>
              </c:numCache>
            </c:numRef>
          </c:val>
        </c:ser>
        <c:ser>
          <c:idx val="1"/>
          <c:order val="1"/>
          <c:tx>
            <c:strRef>
              <c:f>'CAP age and gender'!$S$7</c:f>
              <c:strCache>
                <c:ptCount val="1"/>
                <c:pt idx="0">
                  <c:v>ATE</c:v>
                </c:pt>
              </c:strCache>
            </c:strRef>
          </c:tx>
          <c:spPr>
            <a:solidFill>
              <a:srgbClr val="9E4F00"/>
            </a:solidFill>
            <a:ln>
              <a:solidFill>
                <a:schemeClr val="tx1"/>
              </a:solidFill>
            </a:ln>
          </c:spPr>
          <c:invertIfNegative val="0"/>
          <c:cat>
            <c:strRef>
              <c:f>'CAP age and gender'!$T$3:$Z$3</c:f>
              <c:strCache>
                <c:ptCount val="7"/>
                <c:pt idx="0">
                  <c:v>0-9</c:v>
                </c:pt>
                <c:pt idx="1">
                  <c:v>10-19</c:v>
                </c:pt>
                <c:pt idx="2">
                  <c:v>20-29</c:v>
                </c:pt>
                <c:pt idx="3">
                  <c:v>30-39</c:v>
                </c:pt>
                <c:pt idx="4">
                  <c:v>40-49</c:v>
                </c:pt>
                <c:pt idx="5">
                  <c:v>50-59</c:v>
                </c:pt>
                <c:pt idx="6">
                  <c:v>60+</c:v>
                </c:pt>
              </c:strCache>
            </c:strRef>
          </c:cat>
          <c:val>
            <c:numRef>
              <c:f>'CAP age and gender'!$T$7:$Z$7</c:f>
              <c:numCache>
                <c:formatCode>General</c:formatCode>
                <c:ptCount val="7"/>
                <c:pt idx="2" formatCode="0.00%">
                  <c:v>0.12698412698412698</c:v>
                </c:pt>
                <c:pt idx="3" formatCode="0.00%">
                  <c:v>0.20634920634920634</c:v>
                </c:pt>
                <c:pt idx="4" formatCode="0.00%">
                  <c:v>0.23809523809523808</c:v>
                </c:pt>
                <c:pt idx="5" formatCode="0.00%">
                  <c:v>0.30158730158730157</c:v>
                </c:pt>
                <c:pt idx="6" formatCode="0.00%">
                  <c:v>0.12698412698412698</c:v>
                </c:pt>
              </c:numCache>
            </c:numRef>
          </c:val>
        </c:ser>
        <c:ser>
          <c:idx val="2"/>
          <c:order val="2"/>
          <c:tx>
            <c:strRef>
              <c:f>'CAP age and gender'!$S$9</c:f>
              <c:strCache>
                <c:ptCount val="1"/>
                <c:pt idx="0">
                  <c:v>ASF</c:v>
                </c:pt>
              </c:strCache>
            </c:strRef>
          </c:tx>
          <c:spPr>
            <a:solidFill>
              <a:schemeClr val="accent1">
                <a:lumMod val="75000"/>
              </a:schemeClr>
            </a:solidFill>
            <a:ln>
              <a:solidFill>
                <a:schemeClr val="tx1"/>
              </a:solidFill>
            </a:ln>
          </c:spPr>
          <c:invertIfNegative val="0"/>
          <c:cat>
            <c:strRef>
              <c:f>'CAP age and gender'!$T$3:$Z$3</c:f>
              <c:strCache>
                <c:ptCount val="7"/>
                <c:pt idx="0">
                  <c:v>0-9</c:v>
                </c:pt>
                <c:pt idx="1">
                  <c:v>10-19</c:v>
                </c:pt>
                <c:pt idx="2">
                  <c:v>20-29</c:v>
                </c:pt>
                <c:pt idx="3">
                  <c:v>30-39</c:v>
                </c:pt>
                <c:pt idx="4">
                  <c:v>40-49</c:v>
                </c:pt>
                <c:pt idx="5">
                  <c:v>50-59</c:v>
                </c:pt>
                <c:pt idx="6">
                  <c:v>60+</c:v>
                </c:pt>
              </c:strCache>
            </c:strRef>
          </c:cat>
          <c:val>
            <c:numRef>
              <c:f>'CAP age and gender'!$T$9:$Z$9</c:f>
              <c:numCache>
                <c:formatCode>0.00%</c:formatCode>
                <c:ptCount val="7"/>
                <c:pt idx="1">
                  <c:v>0.34</c:v>
                </c:pt>
                <c:pt idx="2">
                  <c:v>0.12</c:v>
                </c:pt>
                <c:pt idx="3">
                  <c:v>0.11</c:v>
                </c:pt>
                <c:pt idx="4">
                  <c:v>0.21</c:v>
                </c:pt>
                <c:pt idx="5">
                  <c:v>0.15</c:v>
                </c:pt>
                <c:pt idx="6">
                  <c:v>7.0000000000000007E-2</c:v>
                </c:pt>
              </c:numCache>
            </c:numRef>
          </c:val>
        </c:ser>
        <c:dLbls>
          <c:showLegendKey val="0"/>
          <c:showVal val="0"/>
          <c:showCatName val="0"/>
          <c:showSerName val="0"/>
          <c:showPercent val="0"/>
          <c:showBubbleSize val="0"/>
        </c:dLbls>
        <c:gapWidth val="150"/>
        <c:axId val="153807872"/>
        <c:axId val="38315136"/>
      </c:barChart>
      <c:catAx>
        <c:axId val="153807872"/>
        <c:scaling>
          <c:orientation val="minMax"/>
        </c:scaling>
        <c:delete val="0"/>
        <c:axPos val="b"/>
        <c:title>
          <c:tx>
            <c:rich>
              <a:bodyPr/>
              <a:lstStyle/>
              <a:p>
                <a:pPr>
                  <a:defRPr/>
                </a:pPr>
                <a:r>
                  <a:rPr lang="en-AU"/>
                  <a:t>Age  ranges</a:t>
                </a:r>
              </a:p>
            </c:rich>
          </c:tx>
          <c:overlay val="0"/>
        </c:title>
        <c:majorTickMark val="none"/>
        <c:minorTickMark val="none"/>
        <c:tickLblPos val="nextTo"/>
        <c:crossAx val="38315136"/>
        <c:crossesAt val="0"/>
        <c:auto val="1"/>
        <c:lblAlgn val="ctr"/>
        <c:lblOffset val="100"/>
        <c:noMultiLvlLbl val="0"/>
      </c:catAx>
      <c:valAx>
        <c:axId val="38315136"/>
        <c:scaling>
          <c:orientation val="minMax"/>
        </c:scaling>
        <c:delete val="0"/>
        <c:axPos val="l"/>
        <c:majorGridlines/>
        <c:numFmt formatCode="0%" sourceLinked="0"/>
        <c:majorTickMark val="out"/>
        <c:minorTickMark val="none"/>
        <c:tickLblPos val="nextTo"/>
        <c:crossAx val="153807872"/>
        <c:crosses val="autoZero"/>
        <c:crossBetween val="between"/>
      </c:valAx>
    </c:plotArea>
    <c:plotVisOnly val="1"/>
    <c:dispBlanksAs val="gap"/>
    <c:showDLblsOverMax val="0"/>
  </c:chart>
  <c:spPr>
    <a:ln w="25400">
      <a:solidFill>
        <a:schemeClr val="tx2"/>
      </a:solidFill>
    </a:ln>
  </c:spPr>
  <c:txPr>
    <a:bodyPr/>
    <a:lstStyle/>
    <a:p>
      <a:pPr>
        <a:defRPr sz="1200">
          <a:latin typeface="Arial" pitchFamily="34" charset="0"/>
          <a:cs typeface="Arial" pitchFamily="34"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00A8D-8919-44AA-9BD1-57F0169B3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1215</Words>
  <Characters>6926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Disability Support Funding Bulletin Issue 2 - September 2013</vt:lpstr>
    </vt:vector>
  </TitlesOfParts>
  <Manager>Michael.Carroll@dsc.wa.gov.au</Manager>
  <Company>DSC</Company>
  <LinksUpToDate>false</LinksUpToDate>
  <CharactersWithSpaces>8125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Disability Support Funding Bulletin Issue 2 - September 2013</dc:title>
  <dc:subject>Bulletin that provides information about new funding for services allocated to people with disability, their families and carers in 2012/13.</dc:subject>
  <dc:creator>Merissa.Van_Der_Linden@dsc.wa.gov.au;Katie.Law@dsc.wa.gov.au;Michael.Carroll@dsc.wa.gov.au</dc:creator>
  <cp:keywords>Disability Support Funding Bulletin September 2013; new funding; 2012-2013; combined application process; CAP; community and family living; CLI; FLI; local area resource funding; post school options; community aids and equipment program; incontinence pad scheme; people accessing new funding</cp:keywords>
  <dc:description>Funding Bulletin
New funding 
2012-2013
Combined Application Process
CAP
Community and Family Living
CLI
FLI
Local Area Resource Funding 
Post School Options
Community Aids and Equipment Program
Incontinence Pad Scheme
People accessing new funding</dc:description>
  <cp:lastModifiedBy>Stephanie Chapman</cp:lastModifiedBy>
  <cp:revision>7</cp:revision>
  <cp:lastPrinted>2013-09-24T06:10:00Z</cp:lastPrinted>
  <dcterms:created xsi:type="dcterms:W3CDTF">2013-09-23T02:20:00Z</dcterms:created>
  <dcterms:modified xsi:type="dcterms:W3CDTF">2013-09-24T06:10:00Z</dcterms:modified>
  <cp:category>Report</cp:category>
</cp:coreProperties>
</file>